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A5FB" w14:textId="77777777" w:rsidR="00020251" w:rsidRPr="00E45CD5" w:rsidRDefault="00020251" w:rsidP="00020251">
      <w:pPr>
        <w:spacing w:line="240" w:lineRule="auto"/>
        <w:rPr>
          <w:rFonts w:ascii="Arial" w:hAnsi="Arial" w:cs="Arial"/>
          <w:b/>
          <w:sz w:val="28"/>
          <w:szCs w:val="28"/>
        </w:rPr>
      </w:pPr>
      <w:r w:rsidRPr="00E45CD5">
        <w:rPr>
          <w:rFonts w:ascii="Arial" w:hAnsi="Arial" w:cs="Arial"/>
          <w:b/>
          <w:sz w:val="28"/>
          <w:szCs w:val="28"/>
        </w:rPr>
        <w:t>BIJLAGE: Niet-exhaustieve voorbeeldenlijst plagiaat</w:t>
      </w:r>
    </w:p>
    <w:p w14:paraId="1DE73CDE" w14:textId="77777777" w:rsidR="00020251" w:rsidRPr="00E45CD5" w:rsidRDefault="00020251" w:rsidP="00020251">
      <w:pPr>
        <w:spacing w:line="240" w:lineRule="auto"/>
        <w:rPr>
          <w:rFonts w:ascii="Arial" w:hAnsi="Arial" w:cs="Arial"/>
          <w:sz w:val="20"/>
          <w:szCs w:val="20"/>
        </w:rPr>
      </w:pPr>
    </w:p>
    <w:p w14:paraId="4B16E159" w14:textId="77777777" w:rsidR="00020251" w:rsidRPr="00E45CD5" w:rsidRDefault="00020251" w:rsidP="00020251">
      <w:pPr>
        <w:tabs>
          <w:tab w:val="left" w:pos="-1440"/>
          <w:tab w:val="left" w:pos="-720"/>
        </w:tabs>
        <w:spacing w:line="240" w:lineRule="auto"/>
        <w:rPr>
          <w:rFonts w:ascii="Arial" w:hAnsi="Arial" w:cs="Arial"/>
          <w:b/>
          <w:kern w:val="1"/>
          <w:sz w:val="32"/>
          <w:szCs w:val="32"/>
          <w:lang w:val="nl-NL"/>
        </w:rPr>
      </w:pPr>
      <w:r w:rsidRPr="00E45CD5">
        <w:rPr>
          <w:rFonts w:ascii="Arial" w:hAnsi="Arial" w:cs="Arial"/>
          <w:b/>
          <w:kern w:val="1"/>
          <w:sz w:val="32"/>
          <w:szCs w:val="32"/>
          <w:lang w:val="nl-NL"/>
        </w:rPr>
        <w:t>Voorbeeld plagiaat bij citeren</w:t>
      </w:r>
    </w:p>
    <w:p w14:paraId="47CFDEDC" w14:textId="77777777" w:rsidR="00020251" w:rsidRPr="00E45CD5" w:rsidRDefault="00020251" w:rsidP="00020251">
      <w:pPr>
        <w:tabs>
          <w:tab w:val="left" w:pos="-1440"/>
          <w:tab w:val="left" w:pos="-720"/>
        </w:tabs>
        <w:spacing w:line="240" w:lineRule="auto"/>
        <w:rPr>
          <w:rFonts w:ascii="Arial" w:hAnsi="Arial" w:cs="Arial"/>
          <w:b/>
          <w:kern w:val="1"/>
          <w:sz w:val="28"/>
          <w:szCs w:val="28"/>
          <w:lang w:val="nl-NL"/>
        </w:rPr>
      </w:pPr>
      <w:r w:rsidRPr="00E45CD5">
        <w:rPr>
          <w:rFonts w:ascii="Arial" w:hAnsi="Arial" w:cs="Arial"/>
          <w:b/>
          <w:kern w:val="1"/>
          <w:sz w:val="28"/>
          <w:szCs w:val="28"/>
          <w:lang w:val="nl-NL"/>
        </w:rPr>
        <w:t xml:space="preserve">1. OC </w:t>
      </w:r>
      <w:proofErr w:type="spellStart"/>
      <w:r w:rsidRPr="00E45CD5">
        <w:rPr>
          <w:rFonts w:ascii="Arial" w:hAnsi="Arial" w:cs="Arial"/>
          <w:b/>
          <w:kern w:val="1"/>
          <w:sz w:val="28"/>
          <w:szCs w:val="28"/>
          <w:lang w:val="nl-NL"/>
        </w:rPr>
        <w:t>PolWet</w:t>
      </w:r>
      <w:proofErr w:type="spellEnd"/>
    </w:p>
    <w:p w14:paraId="0CA57B5C" w14:textId="77777777" w:rsidR="00020251" w:rsidRPr="00E45CD5" w:rsidRDefault="00020251" w:rsidP="00020251">
      <w:pPr>
        <w:tabs>
          <w:tab w:val="left" w:pos="-1440"/>
          <w:tab w:val="left" w:pos="-720"/>
        </w:tabs>
        <w:spacing w:line="240" w:lineRule="auto"/>
        <w:rPr>
          <w:rFonts w:ascii="Arial" w:hAnsi="Arial" w:cs="Arial"/>
          <w:b/>
          <w:kern w:val="1"/>
          <w:lang w:val="nl-NL"/>
        </w:rPr>
      </w:pPr>
    </w:p>
    <w:p w14:paraId="437A3F4E"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1 plagiaat</w:t>
      </w:r>
    </w:p>
    <w:p w14:paraId="43DB66BB" w14:textId="77777777" w:rsidR="00020251" w:rsidRPr="00E45CD5" w:rsidRDefault="00020251" w:rsidP="00020251">
      <w:pPr>
        <w:autoSpaceDE w:val="0"/>
        <w:autoSpaceDN w:val="0"/>
        <w:adjustRightInd w:val="0"/>
        <w:spacing w:line="240" w:lineRule="auto"/>
        <w:ind w:right="-142"/>
        <w:rPr>
          <w:rFonts w:ascii="Arial" w:hAnsi="Arial" w:cs="Arial"/>
          <w:color w:val="000000"/>
          <w:sz w:val="20"/>
          <w:szCs w:val="20"/>
          <w:lang w:val="nl-NL"/>
        </w:rPr>
      </w:pPr>
    </w:p>
    <w:p w14:paraId="5300F424" w14:textId="77777777" w:rsidR="00020251" w:rsidRPr="00E45CD5" w:rsidRDefault="00020251" w:rsidP="00020251">
      <w:pPr>
        <w:autoSpaceDE w:val="0"/>
        <w:autoSpaceDN w:val="0"/>
        <w:adjustRightInd w:val="0"/>
        <w:spacing w:line="240" w:lineRule="auto"/>
        <w:ind w:right="-142"/>
        <w:rPr>
          <w:rFonts w:ascii="Arial" w:hAnsi="Arial" w:cs="Arial"/>
          <w:kern w:val="1"/>
          <w:sz w:val="20"/>
          <w:szCs w:val="20"/>
          <w:lang w:val="nl-NL"/>
        </w:rPr>
      </w:pPr>
      <w:r w:rsidRPr="00E45CD5">
        <w:rPr>
          <w:rFonts w:ascii="Arial" w:hAnsi="Arial" w:cs="Arial"/>
          <w:color w:val="000000"/>
          <w:sz w:val="20"/>
          <w:szCs w:val="20"/>
          <w:lang w:val="nl-NL"/>
        </w:rPr>
        <w:t xml:space="preserve">Wie politieke wetenschappen studeert vraagt zich wellicht af, ‘wat is politiek? Politiek is eigenlijk een wezenlijk gecontesteerd concept. Er bestaan heel veel verschillende definities van politiek, waarbij sommige auteurs een bepaald aspect van het menselijk gedrag benadrukken terwijl anderen dan weer politiek afbakenen tot een bepaald domein van de samenleving. Politiek kan dus heel veel dingen zijn. Maar als we politiek willen omschrijven moeten we op zoek naar het ultieme, laatste onderscheid waartoe politiek gereduceerd kan worden. We kunnen politiek beschouwen als de regeling van allerlei zaken voor een groep of collectiviteit als geheel.   </w:t>
      </w:r>
    </w:p>
    <w:p w14:paraId="66A2EB9B"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
    <w:p w14:paraId="1335940B"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correcte referentie</w:t>
      </w:r>
    </w:p>
    <w:p w14:paraId="097D31B5" w14:textId="77777777" w:rsidR="00020251" w:rsidRPr="00E45CD5" w:rsidRDefault="00020251" w:rsidP="00020251">
      <w:pPr>
        <w:tabs>
          <w:tab w:val="left" w:pos="-1440"/>
          <w:tab w:val="left" w:pos="-720"/>
        </w:tabs>
        <w:spacing w:line="240" w:lineRule="auto"/>
        <w:ind w:left="567"/>
        <w:rPr>
          <w:rFonts w:ascii="Arial" w:hAnsi="Arial" w:cs="Arial"/>
          <w:kern w:val="1"/>
          <w:sz w:val="20"/>
          <w:szCs w:val="20"/>
          <w:lang w:val="nl-NL"/>
        </w:rPr>
      </w:pPr>
    </w:p>
    <w:p w14:paraId="22E899B7" w14:textId="77777777" w:rsidR="00020251" w:rsidRPr="00E45CD5" w:rsidRDefault="00020251" w:rsidP="00020251">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567"/>
        <w:rPr>
          <w:rFonts w:ascii="Arial" w:hAnsi="Arial" w:cs="Arial"/>
          <w:iCs/>
          <w:color w:val="000000"/>
          <w:sz w:val="20"/>
          <w:szCs w:val="20"/>
          <w:lang w:val="nl-NL"/>
        </w:rPr>
      </w:pPr>
      <w:r w:rsidRPr="00E45CD5">
        <w:rPr>
          <w:rFonts w:ascii="Arial" w:hAnsi="Arial" w:cs="Arial"/>
          <w:color w:val="000000"/>
          <w:sz w:val="20"/>
          <w:szCs w:val="20"/>
          <w:lang w:val="nl-NL"/>
        </w:rPr>
        <w:t>In zijn inleidende boek ‘De kleermakers en de keizer. Inleiding tot politiek en politieke wetenschappen</w:t>
      </w:r>
      <w:r w:rsidRPr="00E45CD5">
        <w:rPr>
          <w:rFonts w:ascii="Arial" w:hAnsi="Arial" w:cs="Arial"/>
          <w:b/>
          <w:color w:val="000000"/>
          <w:sz w:val="20"/>
          <w:szCs w:val="20"/>
          <w:lang w:val="nl-NL"/>
        </w:rPr>
        <w:t xml:space="preserve">’ </w:t>
      </w:r>
      <w:r w:rsidRPr="00E45CD5">
        <w:rPr>
          <w:rFonts w:ascii="Arial" w:hAnsi="Arial" w:cs="Arial"/>
          <w:color w:val="000000"/>
          <w:sz w:val="20"/>
          <w:szCs w:val="20"/>
          <w:lang w:val="nl-NL"/>
        </w:rPr>
        <w:t>(2006) stelt Carl Devos dat politiek eigenlijk een ‘</w:t>
      </w:r>
      <w:proofErr w:type="spellStart"/>
      <w:r w:rsidRPr="00E45CD5">
        <w:rPr>
          <w:rFonts w:ascii="Arial" w:hAnsi="Arial" w:cs="Arial"/>
          <w:i/>
          <w:color w:val="000000"/>
          <w:sz w:val="20"/>
          <w:szCs w:val="20"/>
          <w:lang w:val="nl-NL"/>
        </w:rPr>
        <w:t>essentialy</w:t>
      </w:r>
      <w:proofErr w:type="spellEnd"/>
      <w:r w:rsidRPr="00E45CD5">
        <w:rPr>
          <w:rFonts w:ascii="Arial" w:hAnsi="Arial" w:cs="Arial"/>
          <w:i/>
          <w:color w:val="000000"/>
          <w:sz w:val="20"/>
          <w:szCs w:val="20"/>
          <w:lang w:val="nl-NL"/>
        </w:rPr>
        <w:t xml:space="preserve"> </w:t>
      </w:r>
      <w:proofErr w:type="spellStart"/>
      <w:r w:rsidRPr="00E45CD5">
        <w:rPr>
          <w:rFonts w:ascii="Arial" w:hAnsi="Arial" w:cs="Arial"/>
          <w:i/>
          <w:color w:val="000000"/>
          <w:sz w:val="20"/>
          <w:szCs w:val="20"/>
          <w:lang w:val="nl-NL"/>
        </w:rPr>
        <w:t>contested</w:t>
      </w:r>
      <w:proofErr w:type="spellEnd"/>
      <w:r w:rsidRPr="00E45CD5">
        <w:rPr>
          <w:rFonts w:ascii="Arial" w:hAnsi="Arial" w:cs="Arial"/>
          <w:i/>
          <w:color w:val="000000"/>
          <w:sz w:val="20"/>
          <w:szCs w:val="20"/>
          <w:lang w:val="nl-NL"/>
        </w:rPr>
        <w:t xml:space="preserve"> concept</w:t>
      </w:r>
      <w:r w:rsidRPr="00E45CD5">
        <w:rPr>
          <w:rFonts w:ascii="Arial" w:hAnsi="Arial" w:cs="Arial"/>
          <w:color w:val="000000"/>
          <w:sz w:val="20"/>
          <w:szCs w:val="20"/>
          <w:lang w:val="nl-NL"/>
        </w:rPr>
        <w:t xml:space="preserve">’ is, een term die hij ontleent aan </w:t>
      </w:r>
      <w:proofErr w:type="spellStart"/>
      <w:r w:rsidRPr="00E45CD5">
        <w:rPr>
          <w:rFonts w:ascii="Arial" w:hAnsi="Arial" w:cs="Arial"/>
          <w:color w:val="000000"/>
          <w:sz w:val="20"/>
          <w:szCs w:val="20"/>
          <w:lang w:val="nl-NL"/>
        </w:rPr>
        <w:t>Gallie</w:t>
      </w:r>
      <w:proofErr w:type="spellEnd"/>
      <w:r w:rsidRPr="00E45CD5">
        <w:rPr>
          <w:rFonts w:ascii="Arial" w:hAnsi="Arial" w:cs="Arial"/>
          <w:color w:val="000000"/>
          <w:sz w:val="20"/>
          <w:szCs w:val="20"/>
          <w:lang w:val="nl-NL"/>
        </w:rPr>
        <w:t xml:space="preserve"> (1955). Volgens Devos zijn er aspect- en domeinbenaderingen in de omschrijving van politiek. We moeten op zoek naar het specifieke van de politiek, naar de zgn. ‘</w:t>
      </w:r>
      <w:proofErr w:type="spellStart"/>
      <w:r w:rsidRPr="00E45CD5">
        <w:rPr>
          <w:rFonts w:ascii="Arial" w:hAnsi="Arial" w:cs="Arial"/>
          <w:i/>
          <w:color w:val="000000"/>
          <w:sz w:val="20"/>
          <w:szCs w:val="20"/>
          <w:lang w:val="nl-NL"/>
        </w:rPr>
        <w:t>letzte</w:t>
      </w:r>
      <w:proofErr w:type="spellEnd"/>
      <w:r w:rsidRPr="00E45CD5">
        <w:rPr>
          <w:rFonts w:ascii="Arial" w:hAnsi="Arial" w:cs="Arial"/>
          <w:i/>
          <w:color w:val="000000"/>
          <w:sz w:val="20"/>
          <w:szCs w:val="20"/>
          <w:lang w:val="nl-NL"/>
        </w:rPr>
        <w:t xml:space="preserve"> </w:t>
      </w:r>
      <w:proofErr w:type="spellStart"/>
      <w:r w:rsidRPr="00E45CD5">
        <w:rPr>
          <w:rFonts w:ascii="Arial" w:hAnsi="Arial" w:cs="Arial"/>
          <w:i/>
          <w:color w:val="000000"/>
          <w:sz w:val="20"/>
          <w:szCs w:val="20"/>
          <w:lang w:val="nl-NL"/>
        </w:rPr>
        <w:t>Unterscheidung</w:t>
      </w:r>
      <w:proofErr w:type="spellEnd"/>
      <w:r w:rsidRPr="00E45CD5">
        <w:rPr>
          <w:rFonts w:ascii="Arial" w:hAnsi="Arial" w:cs="Arial"/>
          <w:color w:val="000000"/>
          <w:sz w:val="20"/>
          <w:szCs w:val="20"/>
          <w:lang w:val="nl-NL"/>
        </w:rPr>
        <w:t>’ (Carl Schmitt, 1928, geciteerd in Devos 2006, p.21). Devos omschrijft politiek als “zaken die voor een groep of collectiviteit als geheel worden geregeld.” (Devos 2006, p.26)</w:t>
      </w:r>
    </w:p>
    <w:p w14:paraId="505DB45B"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p>
    <w:p w14:paraId="35DCEDB6"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2 plagiaat</w:t>
      </w:r>
    </w:p>
    <w:p w14:paraId="7798331C"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p>
    <w:p w14:paraId="24EDAAC4" w14:textId="77777777" w:rsidR="00020251" w:rsidRPr="00E45CD5" w:rsidRDefault="00020251" w:rsidP="00020251">
      <w:pPr>
        <w:tabs>
          <w:tab w:val="left" w:pos="-1440"/>
          <w:tab w:val="left" w:pos="-720"/>
        </w:tabs>
        <w:spacing w:line="240" w:lineRule="auto"/>
        <w:rPr>
          <w:rFonts w:ascii="Arial" w:hAnsi="Arial" w:cs="Arial"/>
          <w:kern w:val="1"/>
          <w:sz w:val="20"/>
          <w:szCs w:val="20"/>
          <w:lang w:val="en-US"/>
        </w:rPr>
      </w:pPr>
      <w:r w:rsidRPr="00E45CD5">
        <w:rPr>
          <w:rFonts w:ascii="Arial" w:hAnsi="Arial" w:cs="Arial"/>
          <w:kern w:val="1"/>
          <w:sz w:val="20"/>
          <w:szCs w:val="20"/>
          <w:lang w:val="nl-NL"/>
        </w:rPr>
        <w:t xml:space="preserve">Politiek is daarmee eigenlijk een soort clusterbegrip, een container- of trosbegrip. </w:t>
      </w:r>
      <w:proofErr w:type="spellStart"/>
      <w:r w:rsidRPr="00E45CD5">
        <w:rPr>
          <w:rFonts w:ascii="Arial" w:hAnsi="Arial" w:cs="Arial"/>
          <w:kern w:val="1"/>
          <w:sz w:val="20"/>
          <w:szCs w:val="20"/>
          <w:lang w:val="en-US"/>
        </w:rPr>
        <w:t>Er</w:t>
      </w:r>
      <w:proofErr w:type="spellEnd"/>
      <w:r w:rsidRPr="00E45CD5">
        <w:rPr>
          <w:rFonts w:ascii="Arial" w:hAnsi="Arial" w:cs="Arial"/>
          <w:kern w:val="1"/>
          <w:sz w:val="20"/>
          <w:szCs w:val="20"/>
          <w:lang w:val="en-US"/>
        </w:rPr>
        <w:t xml:space="preserve"> is </w:t>
      </w:r>
      <w:proofErr w:type="spellStart"/>
      <w:r w:rsidRPr="00E45CD5">
        <w:rPr>
          <w:rFonts w:ascii="Arial" w:hAnsi="Arial" w:cs="Arial"/>
          <w:kern w:val="1"/>
          <w:sz w:val="20"/>
          <w:szCs w:val="20"/>
          <w:lang w:val="en-US"/>
        </w:rPr>
        <w:t>brede</w:t>
      </w:r>
      <w:proofErr w:type="spellEnd"/>
      <w:r w:rsidRPr="00E45CD5">
        <w:rPr>
          <w:rFonts w:ascii="Arial" w:hAnsi="Arial" w:cs="Arial"/>
          <w:kern w:val="1"/>
          <w:sz w:val="20"/>
          <w:szCs w:val="20"/>
          <w:lang w:val="en-US"/>
        </w:rPr>
        <w:t xml:space="preserve"> reeks van criteria die op </w:t>
      </w:r>
      <w:proofErr w:type="spellStart"/>
      <w:r w:rsidRPr="00E45CD5">
        <w:rPr>
          <w:rFonts w:ascii="Arial" w:hAnsi="Arial" w:cs="Arial"/>
          <w:kern w:val="1"/>
          <w:sz w:val="20"/>
          <w:szCs w:val="20"/>
          <w:lang w:val="en-US"/>
        </w:rPr>
        <w:t>politiek</w:t>
      </w:r>
      <w:proofErr w:type="spellEnd"/>
      <w:r w:rsidRPr="00E45CD5">
        <w:rPr>
          <w:rFonts w:ascii="Arial" w:hAnsi="Arial" w:cs="Arial"/>
          <w:kern w:val="1"/>
          <w:sz w:val="20"/>
          <w:szCs w:val="20"/>
          <w:lang w:val="en-US"/>
        </w:rPr>
        <w:t xml:space="preserve"> van </w:t>
      </w:r>
      <w:proofErr w:type="spellStart"/>
      <w:r w:rsidRPr="00E45CD5">
        <w:rPr>
          <w:rFonts w:ascii="Arial" w:hAnsi="Arial" w:cs="Arial"/>
          <w:kern w:val="1"/>
          <w:sz w:val="20"/>
          <w:szCs w:val="20"/>
          <w:lang w:val="en-US"/>
        </w:rPr>
        <w:t>toepassing</w:t>
      </w:r>
      <w:proofErr w:type="spellEnd"/>
      <w:r w:rsidRPr="00E45CD5">
        <w:rPr>
          <w:rFonts w:ascii="Arial" w:hAnsi="Arial" w:cs="Arial"/>
          <w:kern w:val="1"/>
          <w:sz w:val="20"/>
          <w:szCs w:val="20"/>
          <w:lang w:val="en-US"/>
        </w:rPr>
        <w:t xml:space="preserve"> </w:t>
      </w:r>
      <w:proofErr w:type="spellStart"/>
      <w:r w:rsidRPr="00E45CD5">
        <w:rPr>
          <w:rFonts w:ascii="Arial" w:hAnsi="Arial" w:cs="Arial"/>
          <w:kern w:val="1"/>
          <w:sz w:val="20"/>
          <w:szCs w:val="20"/>
          <w:lang w:val="en-US"/>
        </w:rPr>
        <w:t>kunnen</w:t>
      </w:r>
      <w:proofErr w:type="spellEnd"/>
      <w:r w:rsidRPr="00E45CD5">
        <w:rPr>
          <w:rFonts w:ascii="Arial" w:hAnsi="Arial" w:cs="Arial"/>
          <w:kern w:val="1"/>
          <w:sz w:val="20"/>
          <w:szCs w:val="20"/>
          <w:lang w:val="en-US"/>
        </w:rPr>
        <w:t xml:space="preserve"> </w:t>
      </w:r>
      <w:proofErr w:type="spellStart"/>
      <w:r w:rsidRPr="00E45CD5">
        <w:rPr>
          <w:rFonts w:ascii="Arial" w:hAnsi="Arial" w:cs="Arial"/>
          <w:kern w:val="1"/>
          <w:sz w:val="20"/>
          <w:szCs w:val="20"/>
          <w:lang w:val="en-US"/>
        </w:rPr>
        <w:t>zijn</w:t>
      </w:r>
      <w:proofErr w:type="spellEnd"/>
      <w:r w:rsidRPr="00E45CD5">
        <w:rPr>
          <w:rFonts w:ascii="Arial" w:hAnsi="Arial" w:cs="Arial"/>
          <w:kern w:val="1"/>
          <w:sz w:val="20"/>
          <w:szCs w:val="20"/>
          <w:lang w:val="en-US"/>
        </w:rPr>
        <w:t>, en “any large set of these criteria grouped together in a particular act of practice, is capable of qualifying the act as political.” (Connolly 1983, p.14)</w:t>
      </w:r>
    </w:p>
    <w:p w14:paraId="4CBCE2C4" w14:textId="77777777" w:rsidR="00020251" w:rsidRPr="00E45CD5" w:rsidRDefault="00020251" w:rsidP="00020251">
      <w:pPr>
        <w:tabs>
          <w:tab w:val="left" w:pos="-1440"/>
          <w:tab w:val="left" w:pos="-720"/>
        </w:tabs>
        <w:spacing w:line="240" w:lineRule="auto"/>
        <w:rPr>
          <w:rFonts w:ascii="Arial" w:hAnsi="Arial" w:cs="Arial"/>
          <w:b/>
          <w:kern w:val="1"/>
          <w:sz w:val="20"/>
          <w:szCs w:val="20"/>
          <w:lang w:val="en-US"/>
        </w:rPr>
      </w:pPr>
      <w:r w:rsidRPr="00E45CD5">
        <w:rPr>
          <w:rFonts w:ascii="Arial" w:hAnsi="Arial" w:cs="Arial"/>
          <w:b/>
          <w:kern w:val="1"/>
          <w:sz w:val="20"/>
          <w:szCs w:val="20"/>
          <w:lang w:val="en-US"/>
        </w:rPr>
        <w:t xml:space="preserve"> </w:t>
      </w:r>
    </w:p>
    <w:p w14:paraId="05545093" w14:textId="77777777" w:rsidR="00020251" w:rsidRPr="00E45CD5" w:rsidRDefault="00020251" w:rsidP="00020251">
      <w:pPr>
        <w:tabs>
          <w:tab w:val="left" w:pos="-1440"/>
          <w:tab w:val="left" w:pos="-720"/>
        </w:tabs>
        <w:spacing w:line="240" w:lineRule="auto"/>
        <w:rPr>
          <w:rFonts w:ascii="Arial" w:hAnsi="Arial" w:cs="Arial"/>
          <w:b/>
          <w:kern w:val="1"/>
          <w:sz w:val="20"/>
          <w:szCs w:val="20"/>
          <w:lang w:val="en-US"/>
        </w:rPr>
      </w:pPr>
      <w:proofErr w:type="spellStart"/>
      <w:r w:rsidRPr="00E45CD5">
        <w:rPr>
          <w:rFonts w:ascii="Arial" w:hAnsi="Arial" w:cs="Arial"/>
          <w:b/>
          <w:kern w:val="1"/>
          <w:sz w:val="20"/>
          <w:szCs w:val="20"/>
          <w:lang w:val="en-US"/>
        </w:rPr>
        <w:t>Voorbeeld</w:t>
      </w:r>
      <w:proofErr w:type="spellEnd"/>
      <w:r w:rsidRPr="00E45CD5">
        <w:rPr>
          <w:rFonts w:ascii="Arial" w:hAnsi="Arial" w:cs="Arial"/>
          <w:b/>
          <w:kern w:val="1"/>
          <w:sz w:val="20"/>
          <w:szCs w:val="20"/>
          <w:lang w:val="en-US"/>
        </w:rPr>
        <w:t xml:space="preserve"> </w:t>
      </w:r>
      <w:proofErr w:type="spellStart"/>
      <w:r w:rsidRPr="00E45CD5">
        <w:rPr>
          <w:rFonts w:ascii="Arial" w:hAnsi="Arial" w:cs="Arial"/>
          <w:b/>
          <w:kern w:val="1"/>
          <w:sz w:val="20"/>
          <w:szCs w:val="20"/>
          <w:lang w:val="en-US"/>
        </w:rPr>
        <w:t>correcte</w:t>
      </w:r>
      <w:proofErr w:type="spellEnd"/>
      <w:r w:rsidRPr="00E45CD5">
        <w:rPr>
          <w:rFonts w:ascii="Arial" w:hAnsi="Arial" w:cs="Arial"/>
          <w:b/>
          <w:kern w:val="1"/>
          <w:sz w:val="20"/>
          <w:szCs w:val="20"/>
          <w:lang w:val="en-US"/>
        </w:rPr>
        <w:t xml:space="preserve"> </w:t>
      </w:r>
      <w:proofErr w:type="spellStart"/>
      <w:r w:rsidRPr="00E45CD5">
        <w:rPr>
          <w:rFonts w:ascii="Arial" w:hAnsi="Arial" w:cs="Arial"/>
          <w:b/>
          <w:kern w:val="1"/>
          <w:sz w:val="20"/>
          <w:szCs w:val="20"/>
          <w:lang w:val="en-US"/>
        </w:rPr>
        <w:t>referentie</w:t>
      </w:r>
      <w:proofErr w:type="spellEnd"/>
      <w:r w:rsidRPr="00E45CD5">
        <w:rPr>
          <w:rFonts w:ascii="Arial" w:hAnsi="Arial" w:cs="Arial"/>
          <w:kern w:val="1"/>
          <w:sz w:val="20"/>
          <w:szCs w:val="20"/>
          <w:lang w:val="en-US"/>
        </w:rPr>
        <w:br/>
      </w:r>
      <w:r w:rsidRPr="00E45CD5">
        <w:rPr>
          <w:rFonts w:ascii="Arial" w:hAnsi="Arial" w:cs="Arial"/>
          <w:b/>
          <w:kern w:val="1"/>
          <w:sz w:val="20"/>
          <w:szCs w:val="20"/>
          <w:lang w:val="en-US"/>
        </w:rPr>
        <w:t xml:space="preserve"> </w:t>
      </w:r>
    </w:p>
    <w:p w14:paraId="0EA3C2F0"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roofErr w:type="spellStart"/>
      <w:r w:rsidRPr="00E45CD5">
        <w:rPr>
          <w:rFonts w:ascii="Arial" w:hAnsi="Arial" w:cs="Arial"/>
          <w:kern w:val="1"/>
          <w:sz w:val="20"/>
          <w:szCs w:val="20"/>
          <w:lang w:val="en-US"/>
        </w:rPr>
        <w:t>Volgens</w:t>
      </w:r>
      <w:proofErr w:type="spellEnd"/>
      <w:r w:rsidRPr="00E45CD5">
        <w:rPr>
          <w:rFonts w:ascii="Arial" w:hAnsi="Arial" w:cs="Arial"/>
          <w:kern w:val="1"/>
          <w:sz w:val="20"/>
          <w:szCs w:val="20"/>
          <w:lang w:val="en-US"/>
        </w:rPr>
        <w:t xml:space="preserve"> Devos is </w:t>
      </w:r>
      <w:proofErr w:type="spellStart"/>
      <w:r w:rsidRPr="00E45CD5">
        <w:rPr>
          <w:rFonts w:ascii="Arial" w:hAnsi="Arial" w:cs="Arial"/>
          <w:kern w:val="1"/>
          <w:sz w:val="20"/>
          <w:szCs w:val="20"/>
          <w:lang w:val="en-US"/>
        </w:rPr>
        <w:t>politiek</w:t>
      </w:r>
      <w:proofErr w:type="spellEnd"/>
      <w:r w:rsidRPr="00E45CD5">
        <w:rPr>
          <w:rFonts w:ascii="Arial" w:hAnsi="Arial" w:cs="Arial"/>
          <w:kern w:val="1"/>
          <w:sz w:val="20"/>
          <w:szCs w:val="20"/>
          <w:lang w:val="en-US"/>
        </w:rPr>
        <w:t xml:space="preserve"> “</w:t>
      </w:r>
      <w:proofErr w:type="spellStart"/>
      <w:r w:rsidRPr="00E45CD5">
        <w:rPr>
          <w:rFonts w:ascii="Arial" w:hAnsi="Arial" w:cs="Arial"/>
          <w:kern w:val="1"/>
          <w:sz w:val="20"/>
          <w:szCs w:val="20"/>
          <w:lang w:val="en-US"/>
        </w:rPr>
        <w:t>een</w:t>
      </w:r>
      <w:proofErr w:type="spellEnd"/>
      <w:r w:rsidRPr="00E45CD5">
        <w:rPr>
          <w:rFonts w:ascii="Arial" w:hAnsi="Arial" w:cs="Arial"/>
          <w:kern w:val="1"/>
          <w:sz w:val="20"/>
          <w:szCs w:val="20"/>
          <w:lang w:val="en-US"/>
        </w:rPr>
        <w:t xml:space="preserve"> </w:t>
      </w:r>
      <w:proofErr w:type="spellStart"/>
      <w:r w:rsidRPr="00E45CD5">
        <w:rPr>
          <w:rFonts w:ascii="Arial" w:hAnsi="Arial" w:cs="Arial"/>
          <w:kern w:val="1"/>
          <w:sz w:val="20"/>
          <w:szCs w:val="20"/>
          <w:lang w:val="en-US"/>
        </w:rPr>
        <w:t>clusterconcept</w:t>
      </w:r>
      <w:proofErr w:type="spellEnd"/>
      <w:r w:rsidRPr="00E45CD5">
        <w:rPr>
          <w:rFonts w:ascii="Arial" w:hAnsi="Arial" w:cs="Arial"/>
          <w:kern w:val="1"/>
          <w:sz w:val="20"/>
          <w:szCs w:val="20"/>
          <w:lang w:val="en-US"/>
        </w:rPr>
        <w:t xml:space="preserve">, </w:t>
      </w:r>
      <w:proofErr w:type="spellStart"/>
      <w:r w:rsidRPr="00E45CD5">
        <w:rPr>
          <w:rFonts w:ascii="Arial" w:hAnsi="Arial" w:cs="Arial"/>
          <w:kern w:val="1"/>
          <w:sz w:val="20"/>
          <w:szCs w:val="20"/>
          <w:lang w:val="en-US"/>
        </w:rPr>
        <w:t>een</w:t>
      </w:r>
      <w:proofErr w:type="spellEnd"/>
      <w:r w:rsidRPr="00E45CD5">
        <w:rPr>
          <w:rFonts w:ascii="Arial" w:hAnsi="Arial" w:cs="Arial"/>
          <w:kern w:val="1"/>
          <w:sz w:val="20"/>
          <w:szCs w:val="20"/>
          <w:lang w:val="en-US"/>
        </w:rPr>
        <w:t xml:space="preserve"> </w:t>
      </w:r>
      <w:proofErr w:type="spellStart"/>
      <w:r w:rsidRPr="00E45CD5">
        <w:rPr>
          <w:rFonts w:ascii="Arial" w:hAnsi="Arial" w:cs="Arial"/>
          <w:kern w:val="1"/>
          <w:sz w:val="20"/>
          <w:szCs w:val="20"/>
          <w:lang w:val="en-US"/>
        </w:rPr>
        <w:t>tros</w:t>
      </w:r>
      <w:proofErr w:type="spellEnd"/>
      <w:r w:rsidRPr="00E45CD5">
        <w:rPr>
          <w:rFonts w:ascii="Arial" w:hAnsi="Arial" w:cs="Arial"/>
          <w:kern w:val="1"/>
          <w:sz w:val="20"/>
          <w:szCs w:val="20"/>
          <w:lang w:val="en-US"/>
        </w:rPr>
        <w:t xml:space="preserve">-of </w:t>
      </w:r>
      <w:proofErr w:type="spellStart"/>
      <w:r w:rsidRPr="00E45CD5">
        <w:rPr>
          <w:rFonts w:ascii="Arial" w:hAnsi="Arial" w:cs="Arial"/>
          <w:kern w:val="1"/>
          <w:sz w:val="20"/>
          <w:szCs w:val="20"/>
          <w:lang w:val="en-US"/>
        </w:rPr>
        <w:t>containerbegrip</w:t>
      </w:r>
      <w:proofErr w:type="spellEnd"/>
      <w:r w:rsidRPr="00E45CD5">
        <w:rPr>
          <w:rFonts w:ascii="Arial" w:hAnsi="Arial" w:cs="Arial"/>
          <w:kern w:val="1"/>
          <w:sz w:val="20"/>
          <w:szCs w:val="20"/>
          <w:lang w:val="en-US"/>
        </w:rPr>
        <w:t xml:space="preserve">: </w:t>
      </w:r>
      <w:proofErr w:type="spellStart"/>
      <w:r w:rsidRPr="00E45CD5">
        <w:rPr>
          <w:rFonts w:ascii="Arial" w:hAnsi="Arial" w:cs="Arial"/>
          <w:kern w:val="1"/>
          <w:sz w:val="20"/>
          <w:szCs w:val="20"/>
          <w:lang w:val="en-US"/>
        </w:rPr>
        <w:t>een</w:t>
      </w:r>
      <w:proofErr w:type="spellEnd"/>
      <w:r w:rsidRPr="00E45CD5">
        <w:rPr>
          <w:rFonts w:ascii="Arial" w:hAnsi="Arial" w:cs="Arial"/>
          <w:kern w:val="1"/>
          <w:sz w:val="20"/>
          <w:szCs w:val="20"/>
          <w:lang w:val="en-US"/>
        </w:rPr>
        <w:t xml:space="preserve"> </w:t>
      </w:r>
      <w:proofErr w:type="spellStart"/>
      <w:r w:rsidRPr="00E45CD5">
        <w:rPr>
          <w:rFonts w:ascii="Arial" w:hAnsi="Arial" w:cs="Arial"/>
          <w:kern w:val="1"/>
          <w:sz w:val="20"/>
          <w:szCs w:val="20"/>
          <w:lang w:val="en-US"/>
        </w:rPr>
        <w:t>brede</w:t>
      </w:r>
      <w:proofErr w:type="spellEnd"/>
      <w:r w:rsidRPr="00E45CD5">
        <w:rPr>
          <w:rFonts w:ascii="Arial" w:hAnsi="Arial" w:cs="Arial"/>
          <w:kern w:val="1"/>
          <w:sz w:val="20"/>
          <w:szCs w:val="20"/>
          <w:lang w:val="en-US"/>
        </w:rPr>
        <w:t xml:space="preserve"> reeks van criteria die op </w:t>
      </w:r>
      <w:proofErr w:type="spellStart"/>
      <w:r w:rsidRPr="00E45CD5">
        <w:rPr>
          <w:rFonts w:ascii="Arial" w:hAnsi="Arial" w:cs="Arial"/>
          <w:kern w:val="1"/>
          <w:sz w:val="20"/>
          <w:szCs w:val="20"/>
          <w:lang w:val="en-US"/>
        </w:rPr>
        <w:t>politiek</w:t>
      </w:r>
      <w:proofErr w:type="spellEnd"/>
      <w:r w:rsidRPr="00E45CD5">
        <w:rPr>
          <w:rFonts w:ascii="Arial" w:hAnsi="Arial" w:cs="Arial"/>
          <w:kern w:val="1"/>
          <w:sz w:val="20"/>
          <w:szCs w:val="20"/>
          <w:lang w:val="en-US"/>
        </w:rPr>
        <w:t xml:space="preserve"> van </w:t>
      </w:r>
      <w:proofErr w:type="spellStart"/>
      <w:r w:rsidRPr="00E45CD5">
        <w:rPr>
          <w:rFonts w:ascii="Arial" w:hAnsi="Arial" w:cs="Arial"/>
          <w:kern w:val="1"/>
          <w:sz w:val="20"/>
          <w:szCs w:val="20"/>
          <w:lang w:val="en-US"/>
        </w:rPr>
        <w:t>toepassing</w:t>
      </w:r>
      <w:proofErr w:type="spellEnd"/>
      <w:r w:rsidRPr="00E45CD5">
        <w:rPr>
          <w:rFonts w:ascii="Arial" w:hAnsi="Arial" w:cs="Arial"/>
          <w:kern w:val="1"/>
          <w:sz w:val="20"/>
          <w:szCs w:val="20"/>
          <w:lang w:val="en-US"/>
        </w:rPr>
        <w:t xml:space="preserve"> </w:t>
      </w:r>
      <w:proofErr w:type="spellStart"/>
      <w:r w:rsidRPr="00E45CD5">
        <w:rPr>
          <w:rFonts w:ascii="Arial" w:hAnsi="Arial" w:cs="Arial"/>
          <w:kern w:val="1"/>
          <w:sz w:val="20"/>
          <w:szCs w:val="20"/>
          <w:lang w:val="en-US"/>
        </w:rPr>
        <w:t>kunnen</w:t>
      </w:r>
      <w:proofErr w:type="spellEnd"/>
      <w:r w:rsidRPr="00E45CD5">
        <w:rPr>
          <w:rFonts w:ascii="Arial" w:hAnsi="Arial" w:cs="Arial"/>
          <w:kern w:val="1"/>
          <w:sz w:val="20"/>
          <w:szCs w:val="20"/>
          <w:lang w:val="en-US"/>
        </w:rPr>
        <w:t xml:space="preserve"> </w:t>
      </w:r>
      <w:proofErr w:type="spellStart"/>
      <w:r w:rsidRPr="00E45CD5">
        <w:rPr>
          <w:rFonts w:ascii="Arial" w:hAnsi="Arial" w:cs="Arial"/>
          <w:kern w:val="1"/>
          <w:sz w:val="20"/>
          <w:szCs w:val="20"/>
          <w:lang w:val="en-US"/>
        </w:rPr>
        <w:t>zijn</w:t>
      </w:r>
      <w:proofErr w:type="spellEnd"/>
      <w:r w:rsidRPr="00E45CD5">
        <w:rPr>
          <w:rFonts w:ascii="Arial" w:hAnsi="Arial" w:cs="Arial"/>
          <w:kern w:val="1"/>
          <w:sz w:val="20"/>
          <w:szCs w:val="20"/>
          <w:lang w:val="en-US"/>
        </w:rPr>
        <w:t xml:space="preserve"> en “any large set of these criteria grouped together in a particular act of practice, is capable of qualifying the act as political.” </w:t>
      </w:r>
      <w:r w:rsidRPr="00E45CD5">
        <w:rPr>
          <w:rFonts w:ascii="Arial" w:hAnsi="Arial" w:cs="Arial"/>
          <w:kern w:val="1"/>
          <w:sz w:val="20"/>
          <w:szCs w:val="20"/>
          <w:lang w:val="nl-NL"/>
        </w:rPr>
        <w:t>(</w:t>
      </w:r>
      <w:proofErr w:type="spellStart"/>
      <w:r w:rsidRPr="00E45CD5">
        <w:rPr>
          <w:rFonts w:ascii="Arial" w:hAnsi="Arial" w:cs="Arial"/>
          <w:kern w:val="1"/>
          <w:sz w:val="20"/>
          <w:szCs w:val="20"/>
          <w:lang w:val="nl-NL"/>
        </w:rPr>
        <w:t>Conolly</w:t>
      </w:r>
      <w:proofErr w:type="spellEnd"/>
      <w:r w:rsidRPr="00E45CD5">
        <w:rPr>
          <w:rFonts w:ascii="Arial" w:hAnsi="Arial" w:cs="Arial"/>
          <w:kern w:val="1"/>
          <w:sz w:val="20"/>
          <w:szCs w:val="20"/>
          <w:lang w:val="nl-NL"/>
        </w:rPr>
        <w:t xml:space="preserve"> 1983:14)”. (Devos 2006, p.13)</w:t>
      </w:r>
    </w:p>
    <w:p w14:paraId="3B7A391F" w14:textId="77777777" w:rsidR="00020251" w:rsidRPr="00E45CD5" w:rsidRDefault="00020251" w:rsidP="00020251">
      <w:pPr>
        <w:tabs>
          <w:tab w:val="left" w:pos="-1440"/>
          <w:tab w:val="left" w:pos="-720"/>
        </w:tabs>
        <w:spacing w:line="240" w:lineRule="auto"/>
        <w:ind w:left="1416"/>
        <w:rPr>
          <w:rFonts w:ascii="Arial" w:hAnsi="Arial" w:cs="Arial"/>
          <w:b/>
          <w:kern w:val="1"/>
          <w:sz w:val="20"/>
          <w:szCs w:val="20"/>
          <w:lang w:val="nl-NL"/>
        </w:rPr>
      </w:pPr>
    </w:p>
    <w:p w14:paraId="5AEE1C1F" w14:textId="77777777" w:rsidR="00020251" w:rsidRPr="00E45CD5" w:rsidRDefault="00020251" w:rsidP="00020251">
      <w:pPr>
        <w:tabs>
          <w:tab w:val="left" w:pos="-1440"/>
          <w:tab w:val="left" w:pos="-720"/>
        </w:tabs>
        <w:spacing w:line="240" w:lineRule="auto"/>
        <w:rPr>
          <w:rFonts w:ascii="Arial" w:hAnsi="Arial" w:cs="Arial"/>
          <w:b/>
          <w:sz w:val="20"/>
          <w:szCs w:val="20"/>
          <w:u w:val="single"/>
          <w:lang w:val="nl-NL"/>
        </w:rPr>
      </w:pPr>
      <w:r w:rsidRPr="00E45CD5">
        <w:rPr>
          <w:rFonts w:ascii="Arial" w:hAnsi="Arial" w:cs="Arial"/>
          <w:b/>
          <w:sz w:val="20"/>
          <w:szCs w:val="20"/>
          <w:u w:val="single"/>
          <w:lang w:val="nl-NL"/>
        </w:rPr>
        <w:t>Opmerking:</w:t>
      </w:r>
    </w:p>
    <w:p w14:paraId="7BB9C480" w14:textId="77777777" w:rsidR="00020251" w:rsidRPr="00E45CD5" w:rsidRDefault="00020251" w:rsidP="00020251">
      <w:pPr>
        <w:tabs>
          <w:tab w:val="left" w:pos="-1440"/>
          <w:tab w:val="left" w:pos="-720"/>
        </w:tabs>
        <w:spacing w:line="240" w:lineRule="auto"/>
        <w:rPr>
          <w:rFonts w:ascii="Arial" w:hAnsi="Arial" w:cs="Arial"/>
          <w:b/>
          <w:sz w:val="20"/>
          <w:szCs w:val="20"/>
          <w:u w:val="single"/>
          <w:lang w:val="nl-NL"/>
        </w:rPr>
      </w:pPr>
    </w:p>
    <w:p w14:paraId="20B44A47" w14:textId="77777777" w:rsidR="00020251" w:rsidRPr="00E45CD5" w:rsidRDefault="00020251" w:rsidP="00020251">
      <w:pPr>
        <w:tabs>
          <w:tab w:val="left" w:pos="-1440"/>
          <w:tab w:val="left" w:pos="-720"/>
        </w:tabs>
        <w:spacing w:line="240" w:lineRule="auto"/>
        <w:rPr>
          <w:rFonts w:ascii="Arial" w:hAnsi="Arial" w:cs="Arial"/>
          <w:b/>
          <w:sz w:val="20"/>
          <w:szCs w:val="20"/>
          <w:lang w:val="nl-NL"/>
        </w:rPr>
      </w:pPr>
      <w:r w:rsidRPr="00E45CD5">
        <w:rPr>
          <w:rFonts w:ascii="Arial" w:hAnsi="Arial" w:cs="Arial"/>
          <w:b/>
          <w:sz w:val="20"/>
          <w:szCs w:val="20"/>
          <w:lang w:val="nl-NL"/>
        </w:rPr>
        <w:t xml:space="preserve">Rechtstreeks verwijzen naar bronnen kan enkel als je die bronnen zelf hebt gelezen. Als je een citaat of begrip van de originele bron bij een andere auteur hebt gelezen (in bovenstaand voorbeeld las je het citaat van </w:t>
      </w:r>
      <w:proofErr w:type="spellStart"/>
      <w:r w:rsidRPr="00E45CD5">
        <w:rPr>
          <w:rFonts w:ascii="Arial" w:hAnsi="Arial" w:cs="Arial"/>
          <w:b/>
          <w:sz w:val="20"/>
          <w:szCs w:val="20"/>
          <w:lang w:val="nl-NL"/>
        </w:rPr>
        <w:t>Conolly</w:t>
      </w:r>
      <w:proofErr w:type="spellEnd"/>
      <w:r w:rsidRPr="00E45CD5">
        <w:rPr>
          <w:rFonts w:ascii="Arial" w:hAnsi="Arial" w:cs="Arial"/>
          <w:b/>
          <w:sz w:val="20"/>
          <w:szCs w:val="20"/>
          <w:lang w:val="nl-NL"/>
        </w:rPr>
        <w:t xml:space="preserve"> niet in het boek van </w:t>
      </w:r>
      <w:proofErr w:type="spellStart"/>
      <w:r w:rsidRPr="00E45CD5">
        <w:rPr>
          <w:rFonts w:ascii="Arial" w:hAnsi="Arial" w:cs="Arial"/>
          <w:b/>
          <w:sz w:val="20"/>
          <w:szCs w:val="20"/>
          <w:lang w:val="nl-NL"/>
        </w:rPr>
        <w:t>Connoly</w:t>
      </w:r>
      <w:proofErr w:type="spellEnd"/>
      <w:r w:rsidRPr="00E45CD5">
        <w:rPr>
          <w:rFonts w:ascii="Arial" w:hAnsi="Arial" w:cs="Arial"/>
          <w:b/>
          <w:sz w:val="20"/>
          <w:szCs w:val="20"/>
          <w:lang w:val="nl-NL"/>
        </w:rPr>
        <w:t xml:space="preserve"> zelf, maar in Devos (2006)), dan moet je ook verwijzen naar het boek (Devos) waarin je het citaat (</w:t>
      </w:r>
      <w:proofErr w:type="spellStart"/>
      <w:r w:rsidRPr="00E45CD5">
        <w:rPr>
          <w:rFonts w:ascii="Arial" w:hAnsi="Arial" w:cs="Arial"/>
          <w:b/>
          <w:sz w:val="20"/>
          <w:szCs w:val="20"/>
          <w:lang w:val="nl-NL"/>
        </w:rPr>
        <w:t>Conolly</w:t>
      </w:r>
      <w:proofErr w:type="spellEnd"/>
      <w:r w:rsidRPr="00E45CD5">
        <w:rPr>
          <w:rFonts w:ascii="Arial" w:hAnsi="Arial" w:cs="Arial"/>
          <w:b/>
          <w:sz w:val="20"/>
          <w:szCs w:val="20"/>
          <w:lang w:val="nl-NL"/>
        </w:rPr>
        <w:t>) hebt gelezen. Dat kan zoals in bovenstaand voorbeeld, of dat kan door bv. als volgt:</w:t>
      </w:r>
    </w:p>
    <w:p w14:paraId="3F924F4C" w14:textId="77777777" w:rsidR="00020251" w:rsidRPr="00E45CD5" w:rsidRDefault="00020251" w:rsidP="00020251">
      <w:pPr>
        <w:tabs>
          <w:tab w:val="left" w:pos="-1440"/>
          <w:tab w:val="left" w:pos="-720"/>
        </w:tabs>
        <w:spacing w:line="240" w:lineRule="auto"/>
        <w:rPr>
          <w:rFonts w:ascii="Arial" w:hAnsi="Arial" w:cs="Arial"/>
          <w:b/>
          <w:sz w:val="20"/>
          <w:szCs w:val="20"/>
          <w:lang w:val="nl-NL"/>
        </w:rPr>
      </w:pPr>
    </w:p>
    <w:p w14:paraId="6AF8F7B7" w14:textId="77777777" w:rsidR="00020251" w:rsidRPr="00E45CD5" w:rsidRDefault="00020251" w:rsidP="00020251">
      <w:pPr>
        <w:tabs>
          <w:tab w:val="left" w:pos="-1440"/>
          <w:tab w:val="left" w:pos="-720"/>
        </w:tabs>
        <w:spacing w:line="240" w:lineRule="auto"/>
        <w:rPr>
          <w:rFonts w:ascii="Arial" w:hAnsi="Arial" w:cs="Arial"/>
          <w:b/>
          <w:sz w:val="20"/>
          <w:szCs w:val="20"/>
        </w:rPr>
      </w:pPr>
      <w:r w:rsidRPr="00E45CD5">
        <w:rPr>
          <w:rFonts w:ascii="Arial" w:hAnsi="Arial" w:cs="Arial"/>
          <w:b/>
          <w:sz w:val="20"/>
          <w:szCs w:val="20"/>
          <w:lang w:val="nl-NL"/>
        </w:rPr>
        <w:t xml:space="preserve">Devos (2006, p.13) stelt dat een brede reeks van criteria op politiek van toepassing kunnen zijn. </w:t>
      </w:r>
      <w:r w:rsidRPr="00E45CD5">
        <w:rPr>
          <w:rFonts w:ascii="Arial" w:hAnsi="Arial" w:cs="Arial"/>
          <w:b/>
          <w:sz w:val="20"/>
          <w:szCs w:val="20"/>
          <w:lang w:val="en-US"/>
        </w:rPr>
        <w:t xml:space="preserve">Elke reeks van </w:t>
      </w:r>
      <w:proofErr w:type="spellStart"/>
      <w:r w:rsidRPr="00E45CD5">
        <w:rPr>
          <w:rFonts w:ascii="Arial" w:hAnsi="Arial" w:cs="Arial"/>
          <w:b/>
          <w:sz w:val="20"/>
          <w:szCs w:val="20"/>
          <w:lang w:val="en-US"/>
        </w:rPr>
        <w:t>deze</w:t>
      </w:r>
      <w:proofErr w:type="spellEnd"/>
      <w:r w:rsidRPr="00E45CD5">
        <w:rPr>
          <w:rFonts w:ascii="Arial" w:hAnsi="Arial" w:cs="Arial"/>
          <w:b/>
          <w:sz w:val="20"/>
          <w:szCs w:val="20"/>
          <w:lang w:val="en-US"/>
        </w:rPr>
        <w:t xml:space="preserve"> criteria “grouped together in a particular act of practice, is capable of qualifying the act as political.” </w:t>
      </w:r>
      <w:r w:rsidRPr="00E45CD5">
        <w:rPr>
          <w:rFonts w:ascii="Arial" w:hAnsi="Arial" w:cs="Arial"/>
          <w:b/>
          <w:sz w:val="20"/>
          <w:szCs w:val="20"/>
        </w:rPr>
        <w:t>(</w:t>
      </w:r>
      <w:proofErr w:type="spellStart"/>
      <w:r w:rsidRPr="00E45CD5">
        <w:rPr>
          <w:rFonts w:ascii="Arial" w:hAnsi="Arial" w:cs="Arial"/>
          <w:b/>
          <w:sz w:val="20"/>
          <w:szCs w:val="20"/>
        </w:rPr>
        <w:t>Connolly</w:t>
      </w:r>
      <w:proofErr w:type="spellEnd"/>
      <w:r w:rsidRPr="00E45CD5">
        <w:rPr>
          <w:rFonts w:ascii="Arial" w:hAnsi="Arial" w:cs="Arial"/>
          <w:b/>
          <w:sz w:val="20"/>
          <w:szCs w:val="20"/>
        </w:rPr>
        <w:t>, 1983, p.13, geciteerd in Devos, 2006, p.13).</w:t>
      </w:r>
    </w:p>
    <w:p w14:paraId="6C4410E7" w14:textId="77777777" w:rsidR="00020251" w:rsidRPr="00E45CD5" w:rsidRDefault="00020251" w:rsidP="00020251">
      <w:pPr>
        <w:tabs>
          <w:tab w:val="left" w:pos="-1440"/>
          <w:tab w:val="left" w:pos="-720"/>
        </w:tabs>
        <w:spacing w:line="240" w:lineRule="auto"/>
        <w:rPr>
          <w:rFonts w:ascii="Arial" w:hAnsi="Arial" w:cs="Arial"/>
          <w:b/>
          <w:sz w:val="20"/>
          <w:szCs w:val="20"/>
          <w:u w:val="single"/>
          <w:lang w:val="nl-NL"/>
        </w:rPr>
      </w:pPr>
      <w:r w:rsidRPr="00E45CD5">
        <w:rPr>
          <w:rFonts w:ascii="Arial" w:hAnsi="Arial" w:cs="Arial"/>
          <w:b/>
          <w:sz w:val="20"/>
          <w:szCs w:val="20"/>
          <w:u w:val="single"/>
          <w:lang w:val="nl-NL"/>
        </w:rPr>
        <w:t xml:space="preserve"> </w:t>
      </w:r>
    </w:p>
    <w:p w14:paraId="0A495DA4" w14:textId="77777777" w:rsidR="00020251" w:rsidRPr="00E45CD5" w:rsidRDefault="00020251" w:rsidP="00020251">
      <w:pPr>
        <w:tabs>
          <w:tab w:val="left" w:pos="-1440"/>
          <w:tab w:val="left" w:pos="-720"/>
        </w:tabs>
        <w:spacing w:line="240" w:lineRule="auto"/>
        <w:rPr>
          <w:rFonts w:ascii="Arial" w:hAnsi="Arial" w:cs="Arial"/>
          <w:b/>
          <w:sz w:val="20"/>
          <w:szCs w:val="20"/>
          <w:lang w:val="nl-NL"/>
        </w:rPr>
      </w:pPr>
      <w:r w:rsidRPr="00E45CD5">
        <w:rPr>
          <w:rFonts w:ascii="Arial" w:hAnsi="Arial" w:cs="Arial"/>
          <w:b/>
          <w:sz w:val="20"/>
          <w:szCs w:val="20"/>
          <w:lang w:val="nl-NL"/>
        </w:rPr>
        <w:t xml:space="preserve">Wie een bronverwijzing of citaat wil vermijden, om de tekst meer als eigen tekst voor te stellen, door bv. de woordvolgorde, werkwoordtijden of adjectieven te veranderen, begaat plagiaat. Parafraseren is geen manier om bronvermelding te vermijden. Wie zinnen van een auteur overneemt moet ernaar verwijzen. Indien ze vrij volledig worden weergeven moet de auteur letterlijk geciteerd worden. Als er hier en daar een woordje aan gewijzigd wordt is er van een letterlijk citaat inderdaad geen sprake meer. Maar wie bewust zo’n citaat wil vermijden door precies die kleine veranderingen aan te brengen, creëert de indruk dat hij zelf die zinnen heeft </w:t>
      </w:r>
      <w:r w:rsidRPr="00E45CD5">
        <w:rPr>
          <w:rFonts w:ascii="Arial" w:hAnsi="Arial" w:cs="Arial"/>
          <w:b/>
          <w:sz w:val="20"/>
          <w:szCs w:val="20"/>
          <w:lang w:val="nl-NL"/>
        </w:rPr>
        <w:lastRenderedPageBreak/>
        <w:t>verzonnen en slechts inspiratie vond bij de auteur waarnaar wel verwezen wordt, maar die niet geciteerd wordt. Ook dat is geen correcte houding.</w:t>
      </w:r>
    </w:p>
    <w:p w14:paraId="3B9A0976" w14:textId="77777777" w:rsidR="00020251" w:rsidRPr="00E45CD5" w:rsidRDefault="00020251" w:rsidP="00020251">
      <w:pPr>
        <w:tabs>
          <w:tab w:val="left" w:pos="-1440"/>
          <w:tab w:val="left" w:pos="-720"/>
        </w:tabs>
        <w:spacing w:line="240" w:lineRule="auto"/>
        <w:rPr>
          <w:rFonts w:ascii="Arial" w:hAnsi="Arial" w:cs="Arial"/>
          <w:b/>
          <w:u w:val="single"/>
          <w:lang w:val="nl-NL"/>
        </w:rPr>
      </w:pPr>
    </w:p>
    <w:p w14:paraId="1F69C624" w14:textId="77777777" w:rsidR="00020251" w:rsidRPr="00E45CD5" w:rsidRDefault="00020251" w:rsidP="00020251">
      <w:pPr>
        <w:tabs>
          <w:tab w:val="left" w:pos="-1440"/>
          <w:tab w:val="left" w:pos="-720"/>
        </w:tabs>
        <w:spacing w:line="240" w:lineRule="auto"/>
        <w:rPr>
          <w:rFonts w:ascii="Arial" w:hAnsi="Arial" w:cs="Arial"/>
          <w:b/>
          <w:kern w:val="1"/>
          <w:sz w:val="28"/>
          <w:szCs w:val="28"/>
          <w:lang w:val="nl-NL"/>
        </w:rPr>
      </w:pPr>
      <w:r w:rsidRPr="00E45CD5">
        <w:rPr>
          <w:rFonts w:ascii="Arial" w:hAnsi="Arial" w:cs="Arial"/>
          <w:b/>
          <w:kern w:val="1"/>
          <w:sz w:val="28"/>
          <w:szCs w:val="28"/>
          <w:lang w:val="nl-NL"/>
        </w:rPr>
        <w:t xml:space="preserve">2. OC </w:t>
      </w:r>
      <w:proofErr w:type="spellStart"/>
      <w:r w:rsidRPr="00E45CD5">
        <w:rPr>
          <w:rFonts w:ascii="Arial" w:hAnsi="Arial" w:cs="Arial"/>
          <w:b/>
          <w:kern w:val="1"/>
          <w:sz w:val="28"/>
          <w:szCs w:val="28"/>
          <w:lang w:val="nl-NL"/>
        </w:rPr>
        <w:t>ComWet</w:t>
      </w:r>
      <w:proofErr w:type="spellEnd"/>
    </w:p>
    <w:p w14:paraId="37E3177D" w14:textId="77777777" w:rsidR="00020251" w:rsidRPr="00E45CD5" w:rsidRDefault="00020251" w:rsidP="00020251">
      <w:pPr>
        <w:tabs>
          <w:tab w:val="left" w:pos="-1440"/>
          <w:tab w:val="left" w:pos="-720"/>
        </w:tabs>
        <w:spacing w:line="240" w:lineRule="auto"/>
        <w:rPr>
          <w:rFonts w:ascii="Arial" w:hAnsi="Arial" w:cs="Arial"/>
          <w:b/>
          <w:kern w:val="1"/>
          <w:lang w:val="nl-NL"/>
        </w:rPr>
      </w:pPr>
    </w:p>
    <w:p w14:paraId="1E08EA08"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1 plagiaat</w:t>
      </w:r>
    </w:p>
    <w:p w14:paraId="570703A8"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
    <w:p w14:paraId="43241A33" w14:textId="77777777" w:rsidR="00020251" w:rsidRPr="00E45CD5" w:rsidRDefault="00020251" w:rsidP="00020251">
      <w:pPr>
        <w:autoSpaceDE w:val="0"/>
        <w:autoSpaceDN w:val="0"/>
        <w:adjustRightInd w:val="0"/>
        <w:spacing w:line="240" w:lineRule="auto"/>
        <w:ind w:right="-142"/>
        <w:rPr>
          <w:rFonts w:ascii="Arial" w:hAnsi="Arial" w:cs="Arial"/>
          <w:kern w:val="1"/>
          <w:sz w:val="20"/>
          <w:szCs w:val="20"/>
          <w:lang w:val="nl-NL"/>
        </w:rPr>
      </w:pPr>
      <w:r w:rsidRPr="00E45CD5">
        <w:rPr>
          <w:rFonts w:ascii="Arial" w:hAnsi="Arial" w:cs="Arial"/>
          <w:color w:val="000000"/>
          <w:sz w:val="20"/>
          <w:szCs w:val="20"/>
          <w:lang w:val="nl-NL"/>
        </w:rPr>
        <w:t>Wie zich afvraagt wat ‘de’ communicatiewetenschappen zijn, vraagt zich natuurlijk ook af: ‘wat is communicatie?’ Sommige definities van ‘communicatie’ hebben zich toegespitst op sociale en culturele aspecten. Anderen focussen op</w:t>
      </w:r>
      <w:r w:rsidRPr="00E45CD5">
        <w:rPr>
          <w:rFonts w:ascii="Arial" w:hAnsi="Arial" w:cs="Arial"/>
          <w:sz w:val="20"/>
          <w:szCs w:val="20"/>
          <w:lang w:val="nl-NL"/>
        </w:rPr>
        <w:t xml:space="preserve"> </w:t>
      </w:r>
      <w:r w:rsidRPr="00E45CD5">
        <w:rPr>
          <w:rFonts w:ascii="Arial" w:hAnsi="Arial" w:cs="Arial"/>
          <w:bCs/>
          <w:sz w:val="20"/>
          <w:szCs w:val="20"/>
          <w:lang w:val="nl-NL"/>
        </w:rPr>
        <w:t>gedrags</w:t>
      </w:r>
      <w:r w:rsidRPr="00E45CD5">
        <w:rPr>
          <w:rFonts w:ascii="Arial" w:hAnsi="Arial" w:cs="Arial"/>
          <w:color w:val="000000"/>
          <w:sz w:val="20"/>
          <w:szCs w:val="20"/>
          <w:lang w:val="nl-NL"/>
        </w:rPr>
        <w:t xml:space="preserve">- of cognitieve aspecten. Dit verschil tussen cultuur en cognitief vormde vaak de basis – en doet dat eigenlijk nog altijd – voor verschillen in theorievorming en theoretische benaderingen. Zo kunnen we  communicatie bijvoorbeeld omschrijven als een proces waar participanten informatie creëren en delen met elkaar. In deze definitie ligt de focus op het gedrag en niet zozeer op het sociale en </w:t>
      </w:r>
      <w:r w:rsidRPr="00E45CD5">
        <w:rPr>
          <w:rFonts w:ascii="Arial" w:hAnsi="Arial" w:cs="Arial"/>
          <w:bCs/>
          <w:sz w:val="20"/>
          <w:szCs w:val="20"/>
          <w:lang w:val="nl-NL"/>
        </w:rPr>
        <w:t>culturele</w:t>
      </w:r>
      <w:r w:rsidRPr="00E45CD5">
        <w:rPr>
          <w:rFonts w:ascii="Arial" w:hAnsi="Arial" w:cs="Arial"/>
          <w:b/>
          <w:bCs/>
          <w:color w:val="CD0000"/>
          <w:sz w:val="20"/>
          <w:szCs w:val="20"/>
          <w:lang w:val="nl-NL"/>
        </w:rPr>
        <w:t xml:space="preserve"> </w:t>
      </w:r>
      <w:r w:rsidRPr="00E45CD5">
        <w:rPr>
          <w:rFonts w:ascii="Arial" w:hAnsi="Arial" w:cs="Arial"/>
          <w:color w:val="000000"/>
          <w:sz w:val="20"/>
          <w:szCs w:val="20"/>
          <w:lang w:val="nl-NL"/>
        </w:rPr>
        <w:t>aspect. In andere omschrijvingen van communicatie vinden we wel deze focus terug, als men communicatie definieert als  een activiteit waarbij symbolische inhoud niet enkel doorgegeven wordt, maar uitgewisseld wordt tussen “</w:t>
      </w:r>
      <w:r w:rsidRPr="00E45CD5">
        <w:rPr>
          <w:rFonts w:ascii="Arial" w:hAnsi="Arial" w:cs="Arial"/>
          <w:i/>
          <w:iCs/>
          <w:color w:val="000000"/>
          <w:sz w:val="20"/>
          <w:szCs w:val="20"/>
          <w:lang w:val="nl-NL"/>
        </w:rPr>
        <w:t xml:space="preserve">human </w:t>
      </w:r>
      <w:proofErr w:type="spellStart"/>
      <w:r w:rsidRPr="00E45CD5">
        <w:rPr>
          <w:rFonts w:ascii="Arial" w:hAnsi="Arial" w:cs="Arial"/>
          <w:i/>
          <w:iCs/>
          <w:color w:val="000000"/>
          <w:sz w:val="20"/>
          <w:szCs w:val="20"/>
          <w:lang w:val="nl-NL"/>
        </w:rPr>
        <w:t>agents</w:t>
      </w:r>
      <w:proofErr w:type="spellEnd"/>
      <w:r w:rsidRPr="00E45CD5">
        <w:rPr>
          <w:rFonts w:ascii="Arial" w:hAnsi="Arial" w:cs="Arial"/>
          <w:i/>
          <w:iCs/>
          <w:color w:val="000000"/>
          <w:sz w:val="20"/>
          <w:szCs w:val="20"/>
          <w:lang w:val="nl-NL"/>
        </w:rPr>
        <w:t xml:space="preserve">”, </w:t>
      </w:r>
      <w:r w:rsidRPr="00E45CD5">
        <w:rPr>
          <w:rFonts w:ascii="Arial" w:hAnsi="Arial" w:cs="Arial"/>
          <w:iCs/>
          <w:color w:val="000000"/>
          <w:sz w:val="20"/>
          <w:szCs w:val="20"/>
          <w:lang w:val="nl-NL"/>
        </w:rPr>
        <w:t>die met elkaar in interactie zijn binnen een situationele en/of discursieve context..</w:t>
      </w:r>
      <w:r w:rsidRPr="00E45CD5">
        <w:rPr>
          <w:rFonts w:ascii="Arial" w:hAnsi="Arial" w:cs="Arial"/>
          <w:i/>
          <w:iCs/>
          <w:color w:val="000000"/>
          <w:sz w:val="20"/>
          <w:szCs w:val="20"/>
          <w:lang w:val="nl-NL"/>
        </w:rPr>
        <w:t xml:space="preserve"> </w:t>
      </w:r>
      <w:r w:rsidRPr="00E45CD5">
        <w:rPr>
          <w:rFonts w:ascii="Arial" w:hAnsi="Arial" w:cs="Arial"/>
          <w:iCs/>
          <w:color w:val="000000"/>
          <w:sz w:val="20"/>
          <w:szCs w:val="20"/>
          <w:lang w:val="nl-NL"/>
        </w:rPr>
        <w:t xml:space="preserve">Deze  paradigma’s worden tegenover elkaar geplaatst en </w:t>
      </w:r>
      <w:r w:rsidRPr="00E45CD5">
        <w:rPr>
          <w:rFonts w:ascii="Arial" w:hAnsi="Arial" w:cs="Arial"/>
          <w:color w:val="000000"/>
          <w:sz w:val="20"/>
          <w:szCs w:val="20"/>
          <w:lang w:val="nl-NL"/>
        </w:rPr>
        <w:t xml:space="preserve">weerspiegelen heel eenvoudig gezegd de belangrijkste tradities binnen de communicatiewetenschappen. </w:t>
      </w:r>
    </w:p>
    <w:p w14:paraId="5B0DEC05"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
    <w:p w14:paraId="40245F52"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 xml:space="preserve">Voorbeeld correcte referentie </w:t>
      </w:r>
    </w:p>
    <w:p w14:paraId="4E69AF05" w14:textId="77777777" w:rsidR="00020251" w:rsidRPr="00E45CD5" w:rsidRDefault="00020251" w:rsidP="00020251">
      <w:pPr>
        <w:tabs>
          <w:tab w:val="left" w:pos="-1440"/>
          <w:tab w:val="left" w:pos="-720"/>
        </w:tabs>
        <w:spacing w:line="240" w:lineRule="auto"/>
        <w:ind w:left="567"/>
        <w:rPr>
          <w:rFonts w:ascii="Arial" w:hAnsi="Arial" w:cs="Arial"/>
          <w:kern w:val="1"/>
          <w:sz w:val="20"/>
          <w:szCs w:val="20"/>
          <w:lang w:val="nl-NL"/>
        </w:rPr>
      </w:pPr>
    </w:p>
    <w:p w14:paraId="476C31AD" w14:textId="77777777" w:rsidR="00020251" w:rsidRPr="00E45CD5" w:rsidRDefault="00020251" w:rsidP="00020251">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567"/>
        <w:rPr>
          <w:rFonts w:ascii="Arial" w:hAnsi="Arial" w:cs="Arial"/>
          <w:iCs/>
          <w:color w:val="000000"/>
          <w:sz w:val="20"/>
          <w:szCs w:val="20"/>
          <w:lang w:val="nl-NL"/>
        </w:rPr>
      </w:pPr>
      <w:r w:rsidRPr="00E45CD5">
        <w:rPr>
          <w:rFonts w:ascii="Arial" w:hAnsi="Arial" w:cs="Arial"/>
          <w:color w:val="000000"/>
          <w:sz w:val="20"/>
          <w:szCs w:val="20"/>
          <w:lang w:val="nl-NL"/>
        </w:rPr>
        <w:t xml:space="preserve">In hun inleidende boek ‘Lezen en schrijven in de communicatiewetenschappen’ (2008) stellen Van Bauwel en Vande Winkel dat er verschillende definities van communicatie worden gehanteerd. In hun eerste hoofdstuk gaan ze in op de verschillende invalshoeken en benaderingen zoals de sociale culturele en de gedrags- of cognitieve benaderingen. Ze citeren Roger (1995, geciteerd in Van Bauwel &amp; Vande Winkel, 2008, p. 4) wanneer die stelt dat communicatie een proces is: ‘[…] </w:t>
      </w:r>
      <w:proofErr w:type="spellStart"/>
      <w:r w:rsidRPr="00E45CD5">
        <w:rPr>
          <w:rFonts w:ascii="Arial" w:hAnsi="Arial" w:cs="Arial"/>
          <w:i/>
          <w:iCs/>
          <w:color w:val="000000"/>
          <w:sz w:val="20"/>
          <w:szCs w:val="20"/>
          <w:lang w:val="nl-NL"/>
        </w:rPr>
        <w:t>participants</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create</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and</w:t>
      </w:r>
      <w:proofErr w:type="spellEnd"/>
      <w:r w:rsidRPr="00E45CD5">
        <w:rPr>
          <w:rFonts w:ascii="Arial" w:hAnsi="Arial" w:cs="Arial"/>
          <w:i/>
          <w:iCs/>
          <w:color w:val="000000"/>
          <w:sz w:val="20"/>
          <w:szCs w:val="20"/>
          <w:lang w:val="nl-NL"/>
        </w:rPr>
        <w:t xml:space="preserve"> share information </w:t>
      </w:r>
      <w:proofErr w:type="spellStart"/>
      <w:r w:rsidRPr="00E45CD5">
        <w:rPr>
          <w:rFonts w:ascii="Arial" w:hAnsi="Arial" w:cs="Arial"/>
          <w:i/>
          <w:iCs/>
          <w:color w:val="000000"/>
          <w:sz w:val="20"/>
          <w:szCs w:val="20"/>
          <w:lang w:val="nl-NL"/>
        </w:rPr>
        <w:t>with</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one</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another</w:t>
      </w:r>
      <w:proofErr w:type="spellEnd"/>
      <w:r w:rsidRPr="00E45CD5">
        <w:rPr>
          <w:rFonts w:ascii="Arial" w:hAnsi="Arial" w:cs="Arial"/>
          <w:i/>
          <w:iCs/>
          <w:color w:val="000000"/>
          <w:sz w:val="20"/>
          <w:szCs w:val="20"/>
          <w:lang w:val="nl-NL"/>
        </w:rPr>
        <w:t xml:space="preserve"> in order </w:t>
      </w:r>
      <w:proofErr w:type="spellStart"/>
      <w:r w:rsidRPr="00E45CD5">
        <w:rPr>
          <w:rFonts w:ascii="Arial" w:hAnsi="Arial" w:cs="Arial"/>
          <w:i/>
          <w:iCs/>
          <w:color w:val="000000"/>
          <w:sz w:val="20"/>
          <w:szCs w:val="20"/>
          <w:lang w:val="nl-NL"/>
        </w:rPr>
        <w:t>to</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reach</w:t>
      </w:r>
      <w:proofErr w:type="spellEnd"/>
      <w:r w:rsidRPr="00E45CD5">
        <w:rPr>
          <w:rFonts w:ascii="Arial" w:hAnsi="Arial" w:cs="Arial"/>
          <w:i/>
          <w:iCs/>
          <w:color w:val="000000"/>
          <w:sz w:val="20"/>
          <w:szCs w:val="20"/>
          <w:lang w:val="nl-NL"/>
        </w:rPr>
        <w:t xml:space="preserve"> a </w:t>
      </w:r>
      <w:proofErr w:type="spellStart"/>
      <w:r w:rsidRPr="00E45CD5">
        <w:rPr>
          <w:rFonts w:ascii="Arial" w:hAnsi="Arial" w:cs="Arial"/>
          <w:i/>
          <w:iCs/>
          <w:color w:val="000000"/>
          <w:sz w:val="20"/>
          <w:szCs w:val="20"/>
          <w:lang w:val="nl-NL"/>
        </w:rPr>
        <w:t>mutual</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understanding</w:t>
      </w:r>
      <w:proofErr w:type="spellEnd"/>
      <w:r w:rsidRPr="00E45CD5">
        <w:rPr>
          <w:rFonts w:ascii="Arial" w:hAnsi="Arial" w:cs="Arial"/>
          <w:i/>
          <w:iCs/>
          <w:color w:val="000000"/>
          <w:sz w:val="20"/>
          <w:szCs w:val="20"/>
          <w:lang w:val="nl-NL"/>
        </w:rPr>
        <w:t>’</w:t>
      </w:r>
      <w:r w:rsidRPr="00E45CD5">
        <w:rPr>
          <w:rFonts w:ascii="Arial" w:hAnsi="Arial" w:cs="Arial"/>
          <w:color w:val="000000"/>
          <w:sz w:val="20"/>
          <w:szCs w:val="20"/>
          <w:lang w:val="nl-NL"/>
        </w:rPr>
        <w:t xml:space="preserve">.  Ze duiden (Van Bauwel &amp; Vande Winkel, 2008) erop dat in deze definitie de focus ligt op het gedrag en minder op het sociale en culturele. Iets wat we volgens hen dan wel weer terugvinden in de omschrijving van Price (geciteerd in Van Bauwel &amp; Vande Winkel, 2008, p. 4) die communicatie definieert als: </w:t>
      </w:r>
      <w:r w:rsidRPr="00E45CD5">
        <w:rPr>
          <w:rFonts w:ascii="Arial" w:hAnsi="Arial" w:cs="Arial"/>
          <w:i/>
          <w:iCs/>
          <w:color w:val="000000"/>
          <w:sz w:val="20"/>
          <w:szCs w:val="20"/>
          <w:lang w:val="nl-NL"/>
        </w:rPr>
        <w:t xml:space="preserve">‘An </w:t>
      </w:r>
      <w:proofErr w:type="spellStart"/>
      <w:r w:rsidRPr="00E45CD5">
        <w:rPr>
          <w:rFonts w:ascii="Arial" w:hAnsi="Arial" w:cs="Arial"/>
          <w:i/>
          <w:iCs/>
          <w:color w:val="000000"/>
          <w:sz w:val="20"/>
          <w:szCs w:val="20"/>
          <w:lang w:val="nl-NL"/>
        </w:rPr>
        <w:t>activity</w:t>
      </w:r>
      <w:proofErr w:type="spellEnd"/>
      <w:r w:rsidRPr="00E45CD5">
        <w:rPr>
          <w:rFonts w:ascii="Arial" w:hAnsi="Arial" w:cs="Arial"/>
          <w:i/>
          <w:iCs/>
          <w:color w:val="000000"/>
          <w:sz w:val="20"/>
          <w:szCs w:val="20"/>
          <w:lang w:val="nl-NL"/>
        </w:rPr>
        <w:t xml:space="preserve"> in </w:t>
      </w:r>
      <w:proofErr w:type="spellStart"/>
      <w:r w:rsidRPr="00E45CD5">
        <w:rPr>
          <w:rFonts w:ascii="Arial" w:hAnsi="Arial" w:cs="Arial"/>
          <w:i/>
          <w:iCs/>
          <w:color w:val="000000"/>
          <w:sz w:val="20"/>
          <w:szCs w:val="20"/>
          <w:lang w:val="nl-NL"/>
        </w:rPr>
        <w:t>which</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symbolic</w:t>
      </w:r>
      <w:proofErr w:type="spellEnd"/>
      <w:r w:rsidRPr="00E45CD5">
        <w:rPr>
          <w:rFonts w:ascii="Arial" w:hAnsi="Arial" w:cs="Arial"/>
          <w:i/>
          <w:iCs/>
          <w:color w:val="000000"/>
          <w:sz w:val="20"/>
          <w:szCs w:val="20"/>
          <w:lang w:val="nl-NL"/>
        </w:rPr>
        <w:t xml:space="preserve"> content is </w:t>
      </w:r>
      <w:proofErr w:type="spellStart"/>
      <w:r w:rsidRPr="00E45CD5">
        <w:rPr>
          <w:rFonts w:ascii="Arial" w:hAnsi="Arial" w:cs="Arial"/>
          <w:i/>
          <w:iCs/>
          <w:color w:val="000000"/>
          <w:sz w:val="20"/>
          <w:szCs w:val="20"/>
          <w:lang w:val="nl-NL"/>
        </w:rPr>
        <w:t>not</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merely</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transmitted</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from</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one</w:t>
      </w:r>
      <w:proofErr w:type="spellEnd"/>
      <w:r w:rsidRPr="00E45CD5">
        <w:rPr>
          <w:rFonts w:ascii="Arial" w:hAnsi="Arial" w:cs="Arial"/>
          <w:i/>
          <w:iCs/>
          <w:color w:val="000000"/>
          <w:sz w:val="20"/>
          <w:szCs w:val="20"/>
          <w:lang w:val="nl-NL"/>
        </w:rPr>
        <w:t xml:space="preserve"> source </w:t>
      </w:r>
      <w:proofErr w:type="spellStart"/>
      <w:r w:rsidRPr="00E45CD5">
        <w:rPr>
          <w:rFonts w:ascii="Arial" w:hAnsi="Arial" w:cs="Arial"/>
          <w:i/>
          <w:iCs/>
          <w:color w:val="000000"/>
          <w:sz w:val="20"/>
          <w:szCs w:val="20"/>
          <w:lang w:val="nl-NL"/>
        </w:rPr>
        <w:t>to</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another</w:t>
      </w:r>
      <w:proofErr w:type="spellEnd"/>
      <w:r w:rsidRPr="00E45CD5">
        <w:rPr>
          <w:rFonts w:ascii="Arial" w:hAnsi="Arial" w:cs="Arial"/>
          <w:i/>
          <w:iCs/>
          <w:color w:val="000000"/>
          <w:sz w:val="20"/>
          <w:szCs w:val="20"/>
          <w:lang w:val="nl-NL"/>
        </w:rPr>
        <w:t xml:space="preserve">, but </w:t>
      </w:r>
      <w:proofErr w:type="spellStart"/>
      <w:r w:rsidRPr="00E45CD5">
        <w:rPr>
          <w:rFonts w:ascii="Arial" w:hAnsi="Arial" w:cs="Arial"/>
          <w:i/>
          <w:iCs/>
          <w:color w:val="000000"/>
          <w:sz w:val="20"/>
          <w:szCs w:val="20"/>
          <w:lang w:val="nl-NL"/>
        </w:rPr>
        <w:t>exchanged</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between</w:t>
      </w:r>
      <w:proofErr w:type="spellEnd"/>
      <w:r w:rsidRPr="00E45CD5">
        <w:rPr>
          <w:rFonts w:ascii="Arial" w:hAnsi="Arial" w:cs="Arial"/>
          <w:i/>
          <w:iCs/>
          <w:color w:val="000000"/>
          <w:sz w:val="20"/>
          <w:szCs w:val="20"/>
          <w:lang w:val="nl-NL"/>
        </w:rPr>
        <w:t xml:space="preserve"> human </w:t>
      </w:r>
      <w:proofErr w:type="spellStart"/>
      <w:r w:rsidRPr="00E45CD5">
        <w:rPr>
          <w:rFonts w:ascii="Arial" w:hAnsi="Arial" w:cs="Arial"/>
          <w:i/>
          <w:iCs/>
          <w:color w:val="000000"/>
          <w:sz w:val="20"/>
          <w:szCs w:val="20"/>
          <w:lang w:val="nl-NL"/>
        </w:rPr>
        <w:t>agents</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who</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interact</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within</w:t>
      </w:r>
      <w:proofErr w:type="spellEnd"/>
      <w:r w:rsidRPr="00E45CD5">
        <w:rPr>
          <w:rFonts w:ascii="Arial" w:hAnsi="Arial" w:cs="Arial"/>
          <w:i/>
          <w:iCs/>
          <w:color w:val="000000"/>
          <w:sz w:val="20"/>
          <w:szCs w:val="20"/>
          <w:lang w:val="nl-NL"/>
        </w:rPr>
        <w:t xml:space="preserve"> a shared </w:t>
      </w:r>
      <w:proofErr w:type="spellStart"/>
      <w:r w:rsidRPr="00E45CD5">
        <w:rPr>
          <w:rFonts w:ascii="Arial" w:hAnsi="Arial" w:cs="Arial"/>
          <w:i/>
          <w:iCs/>
          <w:color w:val="000000"/>
          <w:sz w:val="20"/>
          <w:szCs w:val="20"/>
          <w:lang w:val="nl-NL"/>
        </w:rPr>
        <w:t>situational</w:t>
      </w:r>
      <w:proofErr w:type="spellEnd"/>
      <w:r w:rsidRPr="00E45CD5">
        <w:rPr>
          <w:rFonts w:ascii="Arial" w:hAnsi="Arial" w:cs="Arial"/>
          <w:i/>
          <w:iCs/>
          <w:color w:val="000000"/>
          <w:sz w:val="20"/>
          <w:szCs w:val="20"/>
          <w:lang w:val="nl-NL"/>
        </w:rPr>
        <w:t xml:space="preserve"> </w:t>
      </w:r>
      <w:proofErr w:type="spellStart"/>
      <w:r w:rsidRPr="00E45CD5">
        <w:rPr>
          <w:rFonts w:ascii="Arial" w:hAnsi="Arial" w:cs="Arial"/>
          <w:i/>
          <w:iCs/>
          <w:color w:val="000000"/>
          <w:sz w:val="20"/>
          <w:szCs w:val="20"/>
          <w:lang w:val="nl-NL"/>
        </w:rPr>
        <w:t>and</w:t>
      </w:r>
      <w:proofErr w:type="spellEnd"/>
      <w:r w:rsidRPr="00E45CD5">
        <w:rPr>
          <w:rFonts w:ascii="Arial" w:hAnsi="Arial" w:cs="Arial"/>
          <w:i/>
          <w:iCs/>
          <w:color w:val="000000"/>
          <w:sz w:val="20"/>
          <w:szCs w:val="20"/>
          <w:lang w:val="nl-NL"/>
        </w:rPr>
        <w:t xml:space="preserve">/or </w:t>
      </w:r>
      <w:proofErr w:type="spellStart"/>
      <w:r w:rsidRPr="00E45CD5">
        <w:rPr>
          <w:rFonts w:ascii="Arial" w:hAnsi="Arial" w:cs="Arial"/>
          <w:i/>
          <w:iCs/>
          <w:color w:val="000000"/>
          <w:sz w:val="20"/>
          <w:szCs w:val="20"/>
          <w:lang w:val="nl-NL"/>
        </w:rPr>
        <w:t>discursive</w:t>
      </w:r>
      <w:proofErr w:type="spellEnd"/>
      <w:r w:rsidRPr="00E45CD5">
        <w:rPr>
          <w:rFonts w:ascii="Arial" w:hAnsi="Arial" w:cs="Arial"/>
          <w:i/>
          <w:iCs/>
          <w:color w:val="000000"/>
          <w:sz w:val="20"/>
          <w:szCs w:val="20"/>
          <w:lang w:val="nl-NL"/>
        </w:rPr>
        <w:t xml:space="preserve"> context.’ </w:t>
      </w:r>
      <w:r w:rsidRPr="00E45CD5">
        <w:rPr>
          <w:rFonts w:ascii="Arial" w:hAnsi="Arial" w:cs="Arial"/>
          <w:kern w:val="1"/>
          <w:sz w:val="20"/>
          <w:szCs w:val="20"/>
          <w:lang w:val="nl-NL"/>
        </w:rPr>
        <w:t>Tenslotte wijzen ze erop dat</w:t>
      </w:r>
      <w:r w:rsidRPr="00E45CD5">
        <w:rPr>
          <w:rFonts w:ascii="Arial" w:hAnsi="Arial" w:cs="Arial"/>
          <w:b/>
          <w:kern w:val="1"/>
          <w:sz w:val="20"/>
          <w:szCs w:val="20"/>
          <w:lang w:val="nl-NL"/>
        </w:rPr>
        <w:t xml:space="preserve"> </w:t>
      </w:r>
      <w:r w:rsidRPr="00E45CD5">
        <w:rPr>
          <w:rFonts w:ascii="Arial" w:hAnsi="Arial" w:cs="Arial"/>
          <w:iCs/>
          <w:color w:val="000000"/>
          <w:sz w:val="20"/>
          <w:szCs w:val="20"/>
          <w:lang w:val="nl-NL"/>
        </w:rPr>
        <w:t>deze paradigma’s tegenover elkaar worden geplaatst zoals ook Marsen (2006) dit stelt.</w:t>
      </w:r>
    </w:p>
    <w:p w14:paraId="1CBA920A"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p>
    <w:p w14:paraId="3C815B74"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p>
    <w:p w14:paraId="499E5877"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2 plagiaat</w:t>
      </w:r>
    </w:p>
    <w:p w14:paraId="5AB4B993"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
    <w:p w14:paraId="62402F44" w14:textId="77777777" w:rsidR="00020251" w:rsidRPr="00E45CD5" w:rsidRDefault="00020251" w:rsidP="00020251">
      <w:pPr>
        <w:tabs>
          <w:tab w:val="left" w:pos="-1440"/>
          <w:tab w:val="left" w:pos="-720"/>
        </w:tabs>
        <w:spacing w:line="240" w:lineRule="auto"/>
        <w:ind w:left="708"/>
        <w:rPr>
          <w:rFonts w:ascii="Arial" w:hAnsi="Arial" w:cs="Arial"/>
          <w:kern w:val="1"/>
          <w:sz w:val="20"/>
          <w:szCs w:val="20"/>
          <w:lang w:val="nl-NL"/>
        </w:rPr>
      </w:pPr>
      <w:r w:rsidRPr="00E45CD5">
        <w:rPr>
          <w:rFonts w:ascii="Arial" w:hAnsi="Arial" w:cs="Arial"/>
          <w:i/>
          <w:kern w:val="1"/>
          <w:sz w:val="20"/>
          <w:szCs w:val="20"/>
          <w:lang w:val="nl-NL"/>
        </w:rPr>
        <w:t>Fahrenheit 9/11</w:t>
      </w:r>
      <w:r w:rsidRPr="00E45CD5">
        <w:rPr>
          <w:rFonts w:ascii="Arial" w:hAnsi="Arial" w:cs="Arial"/>
          <w:kern w:val="1"/>
          <w:sz w:val="20"/>
          <w:szCs w:val="20"/>
          <w:lang w:val="nl-NL"/>
        </w:rPr>
        <w:t>, de film waarvoor Michael Moore in Cannes een Gouden Palm kreeg, is volgens vele Amerikanen te beschouwen als een voorbeeld van ‘over-</w:t>
      </w:r>
      <w:proofErr w:type="spellStart"/>
      <w:r w:rsidRPr="00E45CD5">
        <w:rPr>
          <w:rFonts w:ascii="Arial" w:hAnsi="Arial" w:cs="Arial"/>
          <w:kern w:val="1"/>
          <w:sz w:val="20"/>
          <w:szCs w:val="20"/>
          <w:lang w:val="nl-NL"/>
        </w:rPr>
        <w:t>the</w:t>
      </w:r>
      <w:proofErr w:type="spellEnd"/>
      <w:r w:rsidRPr="00E45CD5">
        <w:rPr>
          <w:rFonts w:ascii="Arial" w:hAnsi="Arial" w:cs="Arial"/>
          <w:kern w:val="1"/>
          <w:sz w:val="20"/>
          <w:szCs w:val="20"/>
          <w:lang w:val="nl-NL"/>
        </w:rPr>
        <w:t xml:space="preserve">-top </w:t>
      </w:r>
      <w:proofErr w:type="spellStart"/>
      <w:r w:rsidRPr="00E45CD5">
        <w:rPr>
          <w:rFonts w:ascii="Arial" w:hAnsi="Arial" w:cs="Arial"/>
          <w:kern w:val="1"/>
          <w:sz w:val="20"/>
          <w:szCs w:val="20"/>
          <w:lang w:val="nl-NL"/>
        </w:rPr>
        <w:t>cinematic</w:t>
      </w:r>
      <w:proofErr w:type="spellEnd"/>
      <w:r w:rsidRPr="00E45CD5">
        <w:rPr>
          <w:rFonts w:ascii="Arial" w:hAnsi="Arial" w:cs="Arial"/>
          <w:kern w:val="1"/>
          <w:sz w:val="20"/>
          <w:szCs w:val="20"/>
          <w:lang w:val="nl-NL"/>
        </w:rPr>
        <w:t xml:space="preserve"> </w:t>
      </w:r>
      <w:proofErr w:type="spellStart"/>
      <w:r w:rsidRPr="00E45CD5">
        <w:rPr>
          <w:rFonts w:ascii="Arial" w:hAnsi="Arial" w:cs="Arial"/>
          <w:kern w:val="1"/>
          <w:sz w:val="20"/>
          <w:szCs w:val="20"/>
          <w:lang w:val="nl-NL"/>
        </w:rPr>
        <w:t>journalism</w:t>
      </w:r>
      <w:proofErr w:type="spellEnd"/>
      <w:r w:rsidRPr="00E45CD5">
        <w:rPr>
          <w:rFonts w:ascii="Arial" w:hAnsi="Arial" w:cs="Arial"/>
          <w:kern w:val="1"/>
          <w:sz w:val="20"/>
          <w:szCs w:val="20"/>
          <w:lang w:val="nl-NL"/>
        </w:rPr>
        <w:t>’. In dit artikel willen we nagaan of deze visie ook door  Nederlanders wordt gedeeld.</w:t>
      </w:r>
    </w:p>
    <w:p w14:paraId="53622F00"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
    <w:p w14:paraId="78B1F108"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p>
    <w:p w14:paraId="5D78BE89"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correcte referentie</w:t>
      </w:r>
    </w:p>
    <w:p w14:paraId="7C3266B5"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
    <w:p w14:paraId="349B1EE6" w14:textId="77777777" w:rsidR="00020251" w:rsidRPr="00E45CD5" w:rsidRDefault="00020251" w:rsidP="00020251">
      <w:pPr>
        <w:pBdr>
          <w:top w:val="single" w:sz="4" w:space="1" w:color="auto"/>
          <w:left w:val="single" w:sz="4" w:space="4" w:color="auto"/>
          <w:bottom w:val="single" w:sz="4" w:space="1" w:color="auto"/>
          <w:right w:val="single" w:sz="4" w:space="4" w:color="auto"/>
        </w:pBdr>
        <w:tabs>
          <w:tab w:val="left" w:pos="-1440"/>
          <w:tab w:val="left" w:pos="-720"/>
        </w:tabs>
        <w:spacing w:line="240" w:lineRule="auto"/>
        <w:ind w:left="708"/>
        <w:rPr>
          <w:rFonts w:ascii="Arial" w:hAnsi="Arial" w:cs="Arial"/>
          <w:kern w:val="1"/>
          <w:sz w:val="20"/>
          <w:szCs w:val="20"/>
          <w:lang w:val="nl-NL"/>
        </w:rPr>
      </w:pPr>
      <w:r w:rsidRPr="00E45CD5">
        <w:rPr>
          <w:rFonts w:ascii="Arial" w:hAnsi="Arial" w:cs="Arial"/>
          <w:i/>
          <w:kern w:val="1"/>
          <w:sz w:val="20"/>
          <w:szCs w:val="20"/>
          <w:lang w:val="nl-NL"/>
        </w:rPr>
        <w:t>Fahrenheit 9/11</w:t>
      </w:r>
      <w:r w:rsidRPr="00E45CD5">
        <w:rPr>
          <w:rFonts w:ascii="Arial" w:hAnsi="Arial" w:cs="Arial"/>
          <w:kern w:val="1"/>
          <w:sz w:val="20"/>
          <w:szCs w:val="20"/>
          <w:lang w:val="nl-NL"/>
        </w:rPr>
        <w:t>, de film waarvoor Michael Moore in Cannes een Gouden Palm kreeg, is volgens vele Amerkanen te beschouwen als een voorbeeld van ‘over-</w:t>
      </w:r>
      <w:proofErr w:type="spellStart"/>
      <w:r w:rsidRPr="00E45CD5">
        <w:rPr>
          <w:rFonts w:ascii="Arial" w:hAnsi="Arial" w:cs="Arial"/>
          <w:kern w:val="1"/>
          <w:sz w:val="20"/>
          <w:szCs w:val="20"/>
          <w:lang w:val="nl-NL"/>
        </w:rPr>
        <w:t>the</w:t>
      </w:r>
      <w:proofErr w:type="spellEnd"/>
      <w:r w:rsidRPr="00E45CD5">
        <w:rPr>
          <w:rFonts w:ascii="Arial" w:hAnsi="Arial" w:cs="Arial"/>
          <w:kern w:val="1"/>
          <w:sz w:val="20"/>
          <w:szCs w:val="20"/>
          <w:lang w:val="nl-NL"/>
        </w:rPr>
        <w:t xml:space="preserve">-top </w:t>
      </w:r>
      <w:proofErr w:type="spellStart"/>
      <w:r w:rsidRPr="00E45CD5">
        <w:rPr>
          <w:rFonts w:ascii="Arial" w:hAnsi="Arial" w:cs="Arial"/>
          <w:kern w:val="1"/>
          <w:sz w:val="20"/>
          <w:szCs w:val="20"/>
          <w:lang w:val="nl-NL"/>
        </w:rPr>
        <w:t>cinematic</w:t>
      </w:r>
      <w:proofErr w:type="spellEnd"/>
      <w:r w:rsidRPr="00E45CD5">
        <w:rPr>
          <w:rFonts w:ascii="Arial" w:hAnsi="Arial" w:cs="Arial"/>
          <w:kern w:val="1"/>
          <w:sz w:val="20"/>
          <w:szCs w:val="20"/>
          <w:lang w:val="nl-NL"/>
        </w:rPr>
        <w:t xml:space="preserve"> </w:t>
      </w:r>
      <w:proofErr w:type="spellStart"/>
      <w:r w:rsidRPr="00E45CD5">
        <w:rPr>
          <w:rFonts w:ascii="Arial" w:hAnsi="Arial" w:cs="Arial"/>
          <w:kern w:val="1"/>
          <w:sz w:val="20"/>
          <w:szCs w:val="20"/>
          <w:lang w:val="nl-NL"/>
        </w:rPr>
        <w:t>journalism</w:t>
      </w:r>
      <w:proofErr w:type="spellEnd"/>
      <w:r w:rsidRPr="00E45CD5">
        <w:rPr>
          <w:rFonts w:ascii="Arial" w:hAnsi="Arial" w:cs="Arial"/>
          <w:kern w:val="1"/>
          <w:sz w:val="20"/>
          <w:szCs w:val="20"/>
          <w:lang w:val="nl-NL"/>
        </w:rPr>
        <w:t>’ (</w:t>
      </w:r>
      <w:proofErr w:type="spellStart"/>
      <w:r w:rsidRPr="00E45CD5">
        <w:rPr>
          <w:rFonts w:ascii="Arial" w:hAnsi="Arial" w:cs="Arial"/>
          <w:kern w:val="1"/>
          <w:sz w:val="20"/>
          <w:szCs w:val="20"/>
          <w:lang w:val="nl-NL"/>
        </w:rPr>
        <w:t>Toplin</w:t>
      </w:r>
      <w:proofErr w:type="spellEnd"/>
      <w:r w:rsidRPr="00E45CD5">
        <w:rPr>
          <w:rFonts w:ascii="Arial" w:hAnsi="Arial" w:cs="Arial"/>
          <w:kern w:val="1"/>
          <w:sz w:val="20"/>
          <w:szCs w:val="20"/>
          <w:lang w:val="nl-NL"/>
        </w:rPr>
        <w:t>, 2006, p. 4). In dit artikel willen we nagaan of deze visie ook door  Nederlanders wordt gedeeld.</w:t>
      </w:r>
    </w:p>
    <w:p w14:paraId="3DFD1BD2"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p>
    <w:p w14:paraId="32211EF5"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3 plagiaat</w:t>
      </w:r>
    </w:p>
    <w:p w14:paraId="3BAD6469"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
    <w:p w14:paraId="05F1EDF5" w14:textId="77777777" w:rsidR="00020251" w:rsidRPr="00E45CD5" w:rsidRDefault="00020251" w:rsidP="00020251">
      <w:pPr>
        <w:tabs>
          <w:tab w:val="left" w:pos="-1440"/>
          <w:tab w:val="left" w:pos="-720"/>
        </w:tabs>
        <w:spacing w:line="240" w:lineRule="auto"/>
        <w:ind w:left="708"/>
        <w:rPr>
          <w:rFonts w:ascii="Arial" w:hAnsi="Arial" w:cs="Arial"/>
          <w:kern w:val="1"/>
          <w:sz w:val="20"/>
          <w:szCs w:val="20"/>
          <w:lang w:val="nl-NL"/>
        </w:rPr>
      </w:pPr>
      <w:r w:rsidRPr="00E45CD5">
        <w:rPr>
          <w:rFonts w:ascii="Arial" w:hAnsi="Arial" w:cs="Arial"/>
          <w:kern w:val="1"/>
          <w:sz w:val="20"/>
          <w:szCs w:val="20"/>
          <w:lang w:val="nl-NL"/>
        </w:rPr>
        <w:t xml:space="preserve">Onderzoek naar en theorievorming over vrouwengenres en specifiek het genre van de </w:t>
      </w:r>
      <w:proofErr w:type="spellStart"/>
      <w:r w:rsidRPr="00E45CD5">
        <w:rPr>
          <w:rFonts w:ascii="Arial" w:hAnsi="Arial" w:cs="Arial"/>
          <w:kern w:val="1"/>
          <w:sz w:val="20"/>
          <w:szCs w:val="20"/>
          <w:lang w:val="nl-NL"/>
        </w:rPr>
        <w:t>soaps</w:t>
      </w:r>
      <w:proofErr w:type="spellEnd"/>
      <w:r w:rsidRPr="00E45CD5">
        <w:rPr>
          <w:rFonts w:ascii="Arial" w:hAnsi="Arial" w:cs="Arial"/>
          <w:kern w:val="1"/>
          <w:sz w:val="20"/>
          <w:szCs w:val="20"/>
          <w:lang w:val="nl-NL"/>
        </w:rPr>
        <w:t xml:space="preserve">, concentreerde zich vooral rond het uitgangspunt dat populaire cultuur een bron van plezier kan zijn. Hierbij ging men vooral kijken naar de aantrekkingskracht van wat men ‘vrouwengenres’ noemt. Zo deed men bijvoorbeeld onderzoek naar de aantrekkingskracht van </w:t>
      </w:r>
      <w:proofErr w:type="spellStart"/>
      <w:r w:rsidRPr="00E45CD5">
        <w:rPr>
          <w:rFonts w:ascii="Arial" w:hAnsi="Arial" w:cs="Arial"/>
          <w:kern w:val="1"/>
          <w:sz w:val="20"/>
          <w:szCs w:val="20"/>
          <w:lang w:val="nl-NL"/>
        </w:rPr>
        <w:t>soaps</w:t>
      </w:r>
      <w:proofErr w:type="spellEnd"/>
      <w:r w:rsidRPr="00E45CD5">
        <w:rPr>
          <w:rFonts w:ascii="Arial" w:hAnsi="Arial" w:cs="Arial"/>
          <w:kern w:val="1"/>
          <w:sz w:val="20"/>
          <w:szCs w:val="20"/>
          <w:lang w:val="nl-NL"/>
        </w:rPr>
        <w:t xml:space="preserve"> bij vrouwen. Deze aantrekkingskracht komt voort uit de vergelijkbaarheid met de </w:t>
      </w:r>
      <w:r w:rsidRPr="00E45CD5">
        <w:rPr>
          <w:rFonts w:ascii="Arial" w:hAnsi="Arial" w:cs="Arial"/>
          <w:kern w:val="1"/>
          <w:sz w:val="20"/>
          <w:szCs w:val="20"/>
          <w:lang w:val="nl-NL"/>
        </w:rPr>
        <w:lastRenderedPageBreak/>
        <w:t>‘werkelijke’ posities van vrouwen in het dagelijkse leven. De aantrekkingskracht van een soap kan ook te maken hebben met de fantasie en de mogelijkheid die deze fantasie creëert om los te komen uit de eigen situatie.</w:t>
      </w:r>
    </w:p>
    <w:p w14:paraId="2D42935E" w14:textId="77777777" w:rsidR="00020251" w:rsidRPr="00E45CD5" w:rsidRDefault="00020251" w:rsidP="00020251">
      <w:pPr>
        <w:tabs>
          <w:tab w:val="left" w:pos="-1440"/>
          <w:tab w:val="left" w:pos="-720"/>
        </w:tabs>
        <w:spacing w:line="240" w:lineRule="auto"/>
        <w:ind w:left="708"/>
        <w:rPr>
          <w:rFonts w:ascii="Arial" w:hAnsi="Arial" w:cs="Arial"/>
          <w:kern w:val="1"/>
          <w:sz w:val="20"/>
          <w:szCs w:val="20"/>
          <w:lang w:val="nl-NL"/>
        </w:rPr>
      </w:pPr>
    </w:p>
    <w:p w14:paraId="6E1C3BF0"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correcte referentie</w:t>
      </w:r>
    </w:p>
    <w:p w14:paraId="4C344845"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
    <w:p w14:paraId="0CC55011" w14:textId="77777777" w:rsidR="00020251" w:rsidRPr="00E45CD5" w:rsidRDefault="00020251" w:rsidP="00020251">
      <w:pPr>
        <w:pBdr>
          <w:top w:val="single" w:sz="4" w:space="1" w:color="auto"/>
          <w:left w:val="single" w:sz="4" w:space="4" w:color="auto"/>
          <w:bottom w:val="single" w:sz="4" w:space="1" w:color="auto"/>
          <w:right w:val="single" w:sz="4" w:space="4" w:color="auto"/>
        </w:pBdr>
        <w:tabs>
          <w:tab w:val="left" w:pos="-1440"/>
          <w:tab w:val="left" w:pos="-720"/>
        </w:tabs>
        <w:spacing w:line="240" w:lineRule="auto"/>
        <w:ind w:left="708"/>
        <w:rPr>
          <w:rFonts w:ascii="Arial" w:hAnsi="Arial" w:cs="Arial"/>
          <w:kern w:val="1"/>
          <w:sz w:val="20"/>
          <w:szCs w:val="20"/>
          <w:lang w:val="nl-NL"/>
        </w:rPr>
      </w:pPr>
      <w:r w:rsidRPr="00E45CD5">
        <w:rPr>
          <w:rFonts w:ascii="Arial" w:hAnsi="Arial" w:cs="Arial"/>
          <w:kern w:val="1"/>
          <w:sz w:val="20"/>
          <w:szCs w:val="20"/>
          <w:lang w:val="nl-NL"/>
        </w:rPr>
        <w:t xml:space="preserve">Onderzoek naar en theorievorming over vrouwengenres en specifiek het genre van de </w:t>
      </w:r>
      <w:proofErr w:type="spellStart"/>
      <w:r w:rsidRPr="00E45CD5">
        <w:rPr>
          <w:rFonts w:ascii="Arial" w:hAnsi="Arial" w:cs="Arial"/>
          <w:kern w:val="1"/>
          <w:sz w:val="20"/>
          <w:szCs w:val="20"/>
          <w:lang w:val="nl-NL"/>
        </w:rPr>
        <w:t>soaps</w:t>
      </w:r>
      <w:proofErr w:type="spellEnd"/>
      <w:r w:rsidRPr="00E45CD5">
        <w:rPr>
          <w:rFonts w:ascii="Arial" w:hAnsi="Arial" w:cs="Arial"/>
          <w:kern w:val="1"/>
          <w:sz w:val="20"/>
          <w:szCs w:val="20"/>
          <w:lang w:val="nl-NL"/>
        </w:rPr>
        <w:t xml:space="preserve">, concentreerde zich vooral rond het uitgangspunt dat populaire cultuur een bron van plezier kan zijn (zie </w:t>
      </w:r>
      <w:proofErr w:type="spellStart"/>
      <w:r w:rsidRPr="00E45CD5">
        <w:rPr>
          <w:rFonts w:ascii="Arial" w:hAnsi="Arial" w:cs="Arial"/>
          <w:kern w:val="1"/>
          <w:sz w:val="20"/>
          <w:szCs w:val="20"/>
          <w:lang w:val="nl-NL"/>
        </w:rPr>
        <w:t>Ang</w:t>
      </w:r>
      <w:proofErr w:type="spellEnd"/>
      <w:r w:rsidRPr="00E45CD5">
        <w:rPr>
          <w:rFonts w:ascii="Arial" w:hAnsi="Arial" w:cs="Arial"/>
          <w:kern w:val="1"/>
          <w:sz w:val="20"/>
          <w:szCs w:val="20"/>
          <w:lang w:val="nl-NL"/>
        </w:rPr>
        <w:t xml:space="preserve">, 1992). Hierbij ging men vooral kijken naar de aantrekkingskracht van wat men ‘vrouwengenres’ noemt. Zo deed Tania </w:t>
      </w:r>
      <w:proofErr w:type="spellStart"/>
      <w:r w:rsidRPr="00E45CD5">
        <w:rPr>
          <w:rFonts w:ascii="Arial" w:hAnsi="Arial" w:cs="Arial"/>
          <w:kern w:val="1"/>
          <w:sz w:val="20"/>
          <w:szCs w:val="20"/>
          <w:lang w:val="nl-NL"/>
        </w:rPr>
        <w:t>Modleski</w:t>
      </w:r>
      <w:proofErr w:type="spellEnd"/>
      <w:r w:rsidRPr="00E45CD5">
        <w:rPr>
          <w:rFonts w:ascii="Arial" w:hAnsi="Arial" w:cs="Arial"/>
          <w:kern w:val="1"/>
          <w:sz w:val="20"/>
          <w:szCs w:val="20"/>
          <w:lang w:val="nl-NL"/>
        </w:rPr>
        <w:t xml:space="preserve"> (1982) onderzoek naar de aantrekkingskracht van </w:t>
      </w:r>
      <w:proofErr w:type="spellStart"/>
      <w:r w:rsidRPr="00E45CD5">
        <w:rPr>
          <w:rFonts w:ascii="Arial" w:hAnsi="Arial" w:cs="Arial"/>
          <w:kern w:val="1"/>
          <w:sz w:val="20"/>
          <w:szCs w:val="20"/>
          <w:lang w:val="nl-NL"/>
        </w:rPr>
        <w:t>soaps</w:t>
      </w:r>
      <w:proofErr w:type="spellEnd"/>
      <w:r w:rsidRPr="00E45CD5">
        <w:rPr>
          <w:rFonts w:ascii="Arial" w:hAnsi="Arial" w:cs="Arial"/>
          <w:kern w:val="1"/>
          <w:sz w:val="20"/>
          <w:szCs w:val="20"/>
          <w:lang w:val="nl-NL"/>
        </w:rPr>
        <w:t xml:space="preserve"> bij vrouwen. Deze aantrekkingskracht komt volgens haar voort uit de vergelijkbaarheid met de ‘werkelijke’ posities van vrouwen in het dagelijkse leven. Kaplan (1986) daarentegen stelt dat de aantrekkingskracht van een soap te maken heeft met de fantasie en de mogelijkheid die deze fantasie creëert om los te komen uit de eigen situatie.</w:t>
      </w:r>
    </w:p>
    <w:p w14:paraId="089D5D38" w14:textId="77777777" w:rsidR="00020251" w:rsidRPr="00E45CD5" w:rsidRDefault="00020251" w:rsidP="00020251">
      <w:pPr>
        <w:tabs>
          <w:tab w:val="left" w:pos="-1440"/>
          <w:tab w:val="left" w:pos="-720"/>
        </w:tabs>
        <w:spacing w:line="240" w:lineRule="auto"/>
        <w:rPr>
          <w:rFonts w:ascii="Arial" w:hAnsi="Arial" w:cs="Arial"/>
          <w:sz w:val="20"/>
          <w:szCs w:val="20"/>
          <w:lang w:val="nl-NL"/>
        </w:rPr>
      </w:pPr>
    </w:p>
    <w:p w14:paraId="180DD3EF" w14:textId="77777777" w:rsidR="00020251" w:rsidRPr="00E45CD5" w:rsidRDefault="00020251" w:rsidP="00020251">
      <w:pPr>
        <w:tabs>
          <w:tab w:val="left" w:pos="-1440"/>
          <w:tab w:val="left" w:pos="-720"/>
        </w:tabs>
        <w:spacing w:line="240" w:lineRule="auto"/>
        <w:rPr>
          <w:rFonts w:ascii="Arial" w:hAnsi="Arial" w:cs="Arial"/>
          <w:b/>
          <w:kern w:val="1"/>
          <w:sz w:val="20"/>
          <w:szCs w:val="20"/>
          <w:u w:val="single"/>
          <w:lang w:val="nl-NL"/>
        </w:rPr>
      </w:pPr>
      <w:r w:rsidRPr="00E45CD5">
        <w:rPr>
          <w:rFonts w:ascii="Arial" w:hAnsi="Arial" w:cs="Arial"/>
          <w:b/>
          <w:kern w:val="1"/>
          <w:sz w:val="20"/>
          <w:szCs w:val="20"/>
          <w:u w:val="single"/>
          <w:lang w:val="nl-NL"/>
        </w:rPr>
        <w:t>Opmerking</w:t>
      </w:r>
    </w:p>
    <w:p w14:paraId="65884034" w14:textId="77777777" w:rsidR="00020251" w:rsidRPr="00E45CD5" w:rsidRDefault="00020251" w:rsidP="00020251">
      <w:pPr>
        <w:tabs>
          <w:tab w:val="left" w:pos="-1440"/>
          <w:tab w:val="left" w:pos="-720"/>
        </w:tabs>
        <w:spacing w:line="240" w:lineRule="auto"/>
        <w:ind w:left="708"/>
        <w:rPr>
          <w:rFonts w:ascii="Arial" w:hAnsi="Arial" w:cs="Arial"/>
          <w:b/>
          <w:kern w:val="1"/>
          <w:sz w:val="20"/>
          <w:szCs w:val="20"/>
          <w:lang w:val="nl-NL"/>
        </w:rPr>
      </w:pPr>
      <w:r w:rsidRPr="00E45CD5">
        <w:rPr>
          <w:rFonts w:ascii="Arial" w:hAnsi="Arial" w:cs="Arial"/>
          <w:kern w:val="1"/>
          <w:sz w:val="20"/>
          <w:szCs w:val="20"/>
          <w:lang w:val="nl-NL"/>
        </w:rPr>
        <w:br/>
      </w:r>
      <w:r w:rsidRPr="00E45CD5">
        <w:rPr>
          <w:rFonts w:ascii="Arial" w:hAnsi="Arial" w:cs="Arial"/>
          <w:b/>
          <w:kern w:val="1"/>
          <w:sz w:val="20"/>
          <w:szCs w:val="20"/>
          <w:lang w:val="nl-NL"/>
        </w:rPr>
        <w:t>Hoewel een éénmalige ‘vergetelheid’ van een niet-essentiële bronverwijzing niet als plagiaat te beschouwen is in de zin van art. 79 OER, zal het herhaaldelijk karakter van het ontbreken van correcte bronverwijzingen waardoor “</w:t>
      </w:r>
      <w:r w:rsidRPr="00E45CD5">
        <w:rPr>
          <w:rFonts w:ascii="Arial" w:hAnsi="Arial" w:cs="Arial"/>
          <w:b/>
          <w:sz w:val="20"/>
          <w:szCs w:val="20"/>
          <w:lang w:val="nl-NL"/>
        </w:rPr>
        <w:t>teksten, theorieën, redeneringen, stellingen, indelingen, schema’s, grafieken, data of onderzoeksresultaten als eigen werk worden voorgesteld” wel als plagiaat kunnen beschouwd worden.</w:t>
      </w:r>
    </w:p>
    <w:p w14:paraId="3713F690" w14:textId="77777777" w:rsidR="00020251" w:rsidRPr="00E45CD5" w:rsidRDefault="00020251" w:rsidP="00020251">
      <w:pPr>
        <w:tabs>
          <w:tab w:val="left" w:pos="-1440"/>
          <w:tab w:val="left" w:pos="-720"/>
        </w:tabs>
        <w:spacing w:line="240" w:lineRule="auto"/>
        <w:rPr>
          <w:rFonts w:ascii="Arial" w:hAnsi="Arial" w:cs="Arial"/>
          <w:b/>
          <w:kern w:val="1"/>
          <w:lang w:val="nl-NL"/>
        </w:rPr>
      </w:pPr>
    </w:p>
    <w:p w14:paraId="13E6CCD4" w14:textId="77777777" w:rsidR="00020251" w:rsidRPr="00E45CD5" w:rsidRDefault="00020251" w:rsidP="00020251">
      <w:pPr>
        <w:tabs>
          <w:tab w:val="left" w:pos="-1440"/>
          <w:tab w:val="left" w:pos="-720"/>
        </w:tabs>
        <w:spacing w:line="240" w:lineRule="auto"/>
        <w:rPr>
          <w:rFonts w:ascii="Arial" w:hAnsi="Arial" w:cs="Arial"/>
          <w:b/>
          <w:kern w:val="1"/>
          <w:sz w:val="28"/>
          <w:szCs w:val="28"/>
          <w:lang w:val="nl-NL"/>
        </w:rPr>
      </w:pPr>
      <w:r w:rsidRPr="00E45CD5">
        <w:rPr>
          <w:rFonts w:ascii="Arial" w:hAnsi="Arial" w:cs="Arial"/>
          <w:b/>
          <w:kern w:val="1"/>
          <w:sz w:val="28"/>
          <w:szCs w:val="28"/>
          <w:lang w:val="nl-NL"/>
        </w:rPr>
        <w:t>3. OC SOCIO</w:t>
      </w:r>
    </w:p>
    <w:p w14:paraId="184CA4AE"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p>
    <w:p w14:paraId="4F565B83"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1: Letterlijk overnemen van de bron</w:t>
      </w:r>
    </w:p>
    <w:p w14:paraId="3F018230" w14:textId="77777777" w:rsidR="00020251" w:rsidRPr="00E45CD5" w:rsidRDefault="00020251" w:rsidP="00020251">
      <w:pPr>
        <w:tabs>
          <w:tab w:val="left" w:pos="-1440"/>
          <w:tab w:val="left" w:pos="-720"/>
        </w:tabs>
        <w:spacing w:line="240" w:lineRule="auto"/>
        <w:rPr>
          <w:rFonts w:ascii="Arial" w:hAnsi="Arial" w:cs="Arial"/>
          <w:b/>
          <w:kern w:val="1"/>
          <w:sz w:val="20"/>
          <w:szCs w:val="20"/>
          <w:u w:val="single"/>
          <w:lang w:val="nl-NL"/>
        </w:rPr>
      </w:pPr>
    </w:p>
    <w:p w14:paraId="37EC3DDC" w14:textId="77777777" w:rsidR="00020251" w:rsidRPr="00E45CD5" w:rsidRDefault="00020251" w:rsidP="00020251">
      <w:pPr>
        <w:tabs>
          <w:tab w:val="left" w:pos="-1440"/>
          <w:tab w:val="left" w:pos="-720"/>
        </w:tabs>
        <w:spacing w:line="240" w:lineRule="auto"/>
        <w:rPr>
          <w:rFonts w:ascii="Arial" w:hAnsi="Arial" w:cs="Arial"/>
          <w:b/>
          <w:kern w:val="1"/>
          <w:sz w:val="20"/>
          <w:szCs w:val="20"/>
          <w:u w:val="single"/>
          <w:lang w:val="nl-NL"/>
        </w:rPr>
      </w:pPr>
      <w:r w:rsidRPr="00E45CD5">
        <w:rPr>
          <w:rFonts w:ascii="Arial" w:hAnsi="Arial" w:cs="Arial"/>
          <w:kern w:val="1"/>
          <w:sz w:val="20"/>
          <w:szCs w:val="20"/>
          <w:lang w:val="nl-NL"/>
        </w:rPr>
        <w:tab/>
      </w:r>
      <w:r w:rsidRPr="00E45CD5">
        <w:rPr>
          <w:rFonts w:ascii="Arial" w:hAnsi="Arial" w:cs="Arial"/>
          <w:b/>
          <w:kern w:val="1"/>
          <w:sz w:val="20"/>
          <w:szCs w:val="20"/>
          <w:u w:val="single"/>
          <w:lang w:val="nl-NL"/>
        </w:rPr>
        <w:t xml:space="preserve">Originele tekst: </w:t>
      </w:r>
      <w:proofErr w:type="spellStart"/>
      <w:r w:rsidRPr="00E45CD5">
        <w:rPr>
          <w:rFonts w:ascii="Arial" w:hAnsi="Arial" w:cs="Arial"/>
          <w:b/>
          <w:kern w:val="1"/>
          <w:sz w:val="20"/>
          <w:szCs w:val="20"/>
          <w:u w:val="single"/>
          <w:lang w:val="nl-NL"/>
        </w:rPr>
        <w:t>Mastekaasa</w:t>
      </w:r>
      <w:proofErr w:type="spellEnd"/>
      <w:r w:rsidRPr="00E45CD5">
        <w:rPr>
          <w:rFonts w:ascii="Arial" w:hAnsi="Arial" w:cs="Arial"/>
          <w:b/>
          <w:kern w:val="1"/>
          <w:sz w:val="20"/>
          <w:szCs w:val="20"/>
          <w:u w:val="single"/>
          <w:lang w:val="nl-NL"/>
        </w:rPr>
        <w:t xml:space="preserve"> &amp; </w:t>
      </w:r>
      <w:proofErr w:type="spellStart"/>
      <w:r w:rsidRPr="00E45CD5">
        <w:rPr>
          <w:rFonts w:ascii="Arial" w:hAnsi="Arial" w:cs="Arial"/>
          <w:b/>
          <w:kern w:val="1"/>
          <w:sz w:val="20"/>
          <w:szCs w:val="20"/>
          <w:u w:val="single"/>
          <w:lang w:val="nl-NL"/>
        </w:rPr>
        <w:t>Smeby</w:t>
      </w:r>
      <w:proofErr w:type="spellEnd"/>
      <w:r w:rsidRPr="00E45CD5">
        <w:rPr>
          <w:rFonts w:ascii="Arial" w:hAnsi="Arial" w:cs="Arial"/>
          <w:b/>
          <w:kern w:val="1"/>
          <w:sz w:val="20"/>
          <w:szCs w:val="20"/>
          <w:u w:val="single"/>
          <w:lang w:val="nl-NL"/>
        </w:rPr>
        <w:t>, 2008</w:t>
      </w:r>
    </w:p>
    <w:p w14:paraId="7D0DF344" w14:textId="77777777" w:rsidR="00020251" w:rsidRPr="00E45CD5" w:rsidRDefault="00020251" w:rsidP="00020251">
      <w:pPr>
        <w:tabs>
          <w:tab w:val="left" w:pos="-1440"/>
          <w:tab w:val="left" w:pos="-720"/>
        </w:tabs>
        <w:spacing w:line="240" w:lineRule="auto"/>
        <w:rPr>
          <w:rFonts w:ascii="Arial" w:hAnsi="Arial" w:cs="Arial"/>
          <w:b/>
          <w:kern w:val="1"/>
          <w:sz w:val="20"/>
          <w:szCs w:val="20"/>
          <w:u w:val="single"/>
          <w:lang w:val="nl-NL"/>
        </w:rPr>
      </w:pPr>
    </w:p>
    <w:p w14:paraId="1B3A6972" w14:textId="77777777" w:rsidR="00020251" w:rsidRPr="00E45CD5" w:rsidRDefault="00020251" w:rsidP="00020251">
      <w:pPr>
        <w:tabs>
          <w:tab w:val="left" w:pos="-1440"/>
          <w:tab w:val="left" w:pos="-720"/>
        </w:tabs>
        <w:spacing w:line="240" w:lineRule="auto"/>
        <w:rPr>
          <w:rFonts w:ascii="Arial" w:hAnsi="Arial" w:cs="Arial"/>
          <w:b/>
          <w:kern w:val="1"/>
          <w:sz w:val="20"/>
          <w:szCs w:val="20"/>
          <w:u w:val="single"/>
          <w:lang w:val="nl-NL"/>
        </w:rPr>
      </w:pPr>
    </w:p>
    <w:p w14:paraId="2AEC0A10" w14:textId="77777777" w:rsidR="00020251" w:rsidRPr="00E45CD5" w:rsidRDefault="00020251" w:rsidP="00020251">
      <w:pPr>
        <w:tabs>
          <w:tab w:val="left" w:pos="-1440"/>
          <w:tab w:val="left" w:pos="-720"/>
        </w:tabs>
        <w:spacing w:line="240" w:lineRule="auto"/>
        <w:rPr>
          <w:rFonts w:ascii="Arial" w:hAnsi="Arial" w:cs="Arial"/>
          <w:b/>
          <w:kern w:val="1"/>
          <w:sz w:val="20"/>
          <w:szCs w:val="20"/>
          <w:u w:val="single"/>
          <w:lang w:val="nl-NL"/>
        </w:rPr>
      </w:pPr>
      <w:r w:rsidRPr="00E45CD5">
        <w:rPr>
          <w:rFonts w:ascii="Arial" w:hAnsi="Arial" w:cs="Arial"/>
          <w:noProof/>
          <w:color w:val="000000"/>
          <w:sz w:val="20"/>
          <w:szCs w:val="20"/>
          <w:lang w:eastAsia="nl-BE"/>
        </w:rPr>
        <mc:AlternateContent>
          <mc:Choice Requires="wps">
            <w:drawing>
              <wp:anchor distT="0" distB="0" distL="114300" distR="114300" simplePos="0" relativeHeight="251659264" behindDoc="0" locked="0" layoutInCell="1" allowOverlap="1" wp14:anchorId="0C6FA1EA" wp14:editId="31A34DB3">
                <wp:simplePos x="0" y="0"/>
                <wp:positionH relativeFrom="column">
                  <wp:posOffset>167005</wp:posOffset>
                </wp:positionH>
                <wp:positionV relativeFrom="paragraph">
                  <wp:posOffset>22860</wp:posOffset>
                </wp:positionV>
                <wp:extent cx="4834255" cy="3515995"/>
                <wp:effectExtent l="0" t="0" r="23495" b="1143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3515995"/>
                        </a:xfrm>
                        <a:prstGeom prst="rect">
                          <a:avLst/>
                        </a:prstGeom>
                        <a:solidFill>
                          <a:srgbClr val="FFFFFF"/>
                        </a:solidFill>
                        <a:ln w="9525">
                          <a:solidFill>
                            <a:srgbClr val="000000"/>
                          </a:solidFill>
                          <a:miter lim="800000"/>
                          <a:headEnd/>
                          <a:tailEnd/>
                        </a:ln>
                      </wps:spPr>
                      <wps:txbx>
                        <w:txbxContent>
                          <w:p w14:paraId="68A2C418" w14:textId="77777777" w:rsidR="00020251" w:rsidRPr="00EB06F9" w:rsidRDefault="00020251" w:rsidP="00020251">
                            <w:pPr>
                              <w:autoSpaceDE w:val="0"/>
                              <w:autoSpaceDN w:val="0"/>
                              <w:adjustRightInd w:val="0"/>
                              <w:jc w:val="both"/>
                              <w:rPr>
                                <w:rFonts w:ascii="AdvPSTIM10-R" w:hAnsi="AdvPSTIM10-R" w:cs="AdvPSTIM10-R"/>
                                <w:color w:val="000000"/>
                                <w:sz w:val="19"/>
                                <w:szCs w:val="19"/>
                                <w:lang w:val="en-US"/>
                              </w:rPr>
                            </w:pPr>
                            <w:r>
                              <w:rPr>
                                <w:rFonts w:ascii="AdvPSTIM10-R" w:hAnsi="AdvPSTIM10-R" w:cs="AdvPSTIM10-R"/>
                                <w:color w:val="000000"/>
                                <w:sz w:val="19"/>
                                <w:szCs w:val="19"/>
                                <w:lang w:val="en-US"/>
                              </w:rPr>
                              <w:t>‘</w:t>
                            </w:r>
                            <w:r w:rsidRPr="00EB06F9">
                              <w:rPr>
                                <w:rFonts w:ascii="AdvPSTIM10-R" w:hAnsi="AdvPSTIM10-R" w:cs="AdvPSTIM10-R"/>
                                <w:color w:val="000000"/>
                                <w:sz w:val="19"/>
                                <w:szCs w:val="19"/>
                                <w:lang w:val="en-US"/>
                              </w:rPr>
                              <w:t>Moving beyond studies of student persistence to more general theories, several</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authors have suggested that the numerical strength of a minority group has important</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consequences for the degree to which it is exposed to discrimination or more</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generally experience difficulties in various social settings. Particularly influential has</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been Kanter’s (</w:t>
                            </w:r>
                            <w:r w:rsidRPr="00EB06F9">
                              <w:rPr>
                                <w:rFonts w:ascii="AdvPSTIM10-R" w:hAnsi="AdvPSTIM10-R" w:cs="AdvPSTIM10-R"/>
                                <w:color w:val="0000FF"/>
                                <w:sz w:val="19"/>
                                <w:szCs w:val="19"/>
                                <w:lang w:val="en-US"/>
                              </w:rPr>
                              <w:t>1977a</w:t>
                            </w:r>
                            <w:r w:rsidRPr="00EB06F9">
                              <w:rPr>
                                <w:rFonts w:ascii="AdvPSTIM10-R" w:hAnsi="AdvPSTIM10-R" w:cs="AdvPSTIM10-R"/>
                                <w:color w:val="000000"/>
                                <w:sz w:val="19"/>
                                <w:szCs w:val="19"/>
                                <w:lang w:val="en-US"/>
                              </w:rPr>
                              <w:t xml:space="preserve">, </w:t>
                            </w:r>
                            <w:r w:rsidRPr="00EB06F9">
                              <w:rPr>
                                <w:rFonts w:ascii="AdvPSTIM10-R" w:hAnsi="AdvPSTIM10-R" w:cs="AdvPSTIM10-R"/>
                                <w:color w:val="0000FF"/>
                                <w:sz w:val="19"/>
                                <w:szCs w:val="19"/>
                                <w:lang w:val="en-US"/>
                              </w:rPr>
                              <w:t>1977b</w:t>
                            </w:r>
                            <w:r w:rsidRPr="00EB06F9">
                              <w:rPr>
                                <w:rFonts w:ascii="AdvPSTIM10-R" w:hAnsi="AdvPSTIM10-R" w:cs="AdvPSTIM10-R"/>
                                <w:color w:val="000000"/>
                                <w:sz w:val="19"/>
                                <w:szCs w:val="19"/>
                                <w:lang w:val="en-US"/>
                              </w:rPr>
                              <w:t>) theory of ‘tokenism’. Kanter suggests that small</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minorities, like women in predominantly male settings, are faced with special</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problems. The basic issue is that members of small minorities are not perceived and</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treated as individuals but rather as representatives or ‘tokens’ of their category. A</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related albeit different idea is that traditionally privileged majorities may feel that</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their advantaged position is threatened by the minority, and that the minority is</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 xml:space="preserve">therefore subject to various kinds of hostile behaviour (Blalock, </w:t>
                            </w:r>
                            <w:r w:rsidRPr="00EB06F9">
                              <w:rPr>
                                <w:rFonts w:ascii="AdvPSTIM10-R" w:hAnsi="AdvPSTIM10-R" w:cs="AdvPSTIM10-R"/>
                                <w:color w:val="0000FF"/>
                                <w:sz w:val="19"/>
                                <w:szCs w:val="19"/>
                                <w:lang w:val="en-US"/>
                              </w:rPr>
                              <w:t>1967</w:t>
                            </w:r>
                            <w:r w:rsidRPr="00EB06F9">
                              <w:rPr>
                                <w:rFonts w:ascii="AdvPSTIM10-R" w:hAnsi="AdvPSTIM10-R" w:cs="AdvPSTIM10-R"/>
                                <w:color w:val="000000"/>
                                <w:sz w:val="19"/>
                                <w:szCs w:val="19"/>
                                <w:lang w:val="en-US"/>
                              </w:rPr>
                              <w:t>). Kanter’s and</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Blalock’s theories give rise to different hypotheses. According to Kanter, the situation</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of the minority is more difficult the smaller it is. Blalock, on the other hand,</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argues that the majority is more likely to tolerate a very small minority group; when</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the relative size of the minority group increases, it is perceived to be a greater threat,</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and the majorities’ hostility increases.</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Kanter’s theory has not been supported in previous studies of the relationship</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between gender segregation and the dropout of female and male student dropout</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 xml:space="preserve">(Johnes &amp; McNabb, </w:t>
                            </w:r>
                            <w:r w:rsidRPr="00EB06F9">
                              <w:rPr>
                                <w:rFonts w:ascii="AdvPSTIM10-R" w:hAnsi="AdvPSTIM10-R" w:cs="AdvPSTIM10-R"/>
                                <w:color w:val="0000FF"/>
                                <w:sz w:val="19"/>
                                <w:szCs w:val="19"/>
                                <w:lang w:val="en-US"/>
                              </w:rPr>
                              <w:t>2004</w:t>
                            </w:r>
                            <w:r w:rsidRPr="00EB06F9">
                              <w:rPr>
                                <w:rFonts w:ascii="AdvPSTIM10-R" w:hAnsi="AdvPSTIM10-R" w:cs="AdvPSTIM10-R"/>
                                <w:color w:val="000000"/>
                                <w:sz w:val="19"/>
                                <w:szCs w:val="19"/>
                                <w:lang w:val="en-US"/>
                              </w:rPr>
                              <w:t xml:space="preserve">; Rogers &amp; Menaghan, </w:t>
                            </w:r>
                            <w:r w:rsidRPr="00EB06F9">
                              <w:rPr>
                                <w:rFonts w:ascii="AdvPSTIM10-R" w:hAnsi="AdvPSTIM10-R" w:cs="AdvPSTIM10-R"/>
                                <w:color w:val="0000FF"/>
                                <w:sz w:val="19"/>
                                <w:szCs w:val="19"/>
                                <w:lang w:val="en-US"/>
                              </w:rPr>
                              <w:t>1991</w:t>
                            </w:r>
                            <w:r w:rsidRPr="00EB06F9">
                              <w:rPr>
                                <w:rFonts w:ascii="AdvPSTIM10-R" w:hAnsi="AdvPSTIM10-R" w:cs="AdvPSTIM10-R"/>
                                <w:color w:val="000000"/>
                                <w:sz w:val="19"/>
                                <w:szCs w:val="19"/>
                                <w:lang w:val="en-US"/>
                              </w:rPr>
                              <w:t xml:space="preserve">; Sax, </w:t>
                            </w:r>
                            <w:r w:rsidRPr="00EB06F9">
                              <w:rPr>
                                <w:rFonts w:ascii="AdvPSTIM10-R" w:hAnsi="AdvPSTIM10-R" w:cs="AdvPSTIM10-R"/>
                                <w:color w:val="0000FF"/>
                                <w:sz w:val="19"/>
                                <w:szCs w:val="19"/>
                                <w:lang w:val="en-US"/>
                              </w:rPr>
                              <w:t>1996</w:t>
                            </w:r>
                            <w:r w:rsidRPr="00EB06F9">
                              <w:rPr>
                                <w:rFonts w:ascii="AdvPSTIM10-R" w:hAnsi="AdvPSTIM10-R" w:cs="AdvPSTIM10-R"/>
                                <w:color w:val="000000"/>
                                <w:sz w:val="19"/>
                                <w:szCs w:val="19"/>
                                <w:lang w:val="en-US"/>
                              </w:rPr>
                              <w:t>; Smith &amp; Naylor,</w:t>
                            </w:r>
                            <w:r>
                              <w:rPr>
                                <w:rFonts w:ascii="AdvPSTIM10-R" w:hAnsi="AdvPSTIM10-R" w:cs="AdvPSTIM10-R"/>
                                <w:color w:val="000000"/>
                                <w:sz w:val="19"/>
                                <w:szCs w:val="19"/>
                                <w:lang w:val="en-US"/>
                              </w:rPr>
                              <w:t xml:space="preserve"> </w:t>
                            </w:r>
                            <w:r w:rsidRPr="00EB06F9">
                              <w:rPr>
                                <w:rFonts w:ascii="AdvPSTIM10-R" w:hAnsi="AdvPSTIM10-R" w:cs="AdvPSTIM10-R"/>
                                <w:color w:val="0000FF"/>
                                <w:sz w:val="19"/>
                                <w:szCs w:val="19"/>
                                <w:lang w:val="en-US"/>
                              </w:rPr>
                              <w:t>2001</w:t>
                            </w:r>
                            <w:r w:rsidRPr="00EB06F9">
                              <w:rPr>
                                <w:rFonts w:ascii="AdvPSTIM10-R" w:hAnsi="AdvPSTIM10-R" w:cs="AdvPSTIM10-R"/>
                                <w:color w:val="000000"/>
                                <w:sz w:val="19"/>
                                <w:szCs w:val="19"/>
                                <w:lang w:val="en-US"/>
                              </w:rPr>
                              <w:t>). One reason may be that Kanter’s theory of relative numbers is gender neutral</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and do not take into account cultural and social influences of gender in the wider</w:t>
                            </w:r>
                          </w:p>
                          <w:p w14:paraId="4749CECB" w14:textId="77777777" w:rsidR="00020251" w:rsidRDefault="00020251" w:rsidP="00020251">
                            <w:pPr>
                              <w:jc w:val="both"/>
                              <w:rPr>
                                <w:lang w:val="nl-NL"/>
                              </w:rPr>
                            </w:pPr>
                            <w:r>
                              <w:rPr>
                                <w:rFonts w:ascii="AdvPSTIM10-R" w:hAnsi="AdvPSTIM10-R" w:cs="AdvPSTIM10-R"/>
                                <w:color w:val="000000"/>
                                <w:sz w:val="19"/>
                                <w:szCs w:val="19"/>
                              </w:rPr>
                              <w:t>social sphere.’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6FA1EA" id="_x0000_t202" coordsize="21600,21600" o:spt="202" path="m,l,21600r21600,l21600,xe">
                <v:stroke joinstyle="miter"/>
                <v:path gradientshapeok="t" o:connecttype="rect"/>
              </v:shapetype>
              <v:shape id="Text Box 58" o:spid="_x0000_s1026" type="#_x0000_t202" style="position:absolute;margin-left:13.15pt;margin-top:1.8pt;width:380.65pt;height:276.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">
                <v:textbox style="mso-fit-shape-to-text:t">
                  <w:txbxContent>
                    <w:p w14:paraId="68A2C418" w14:textId="77777777" w:rsidR="00020251" w:rsidRPr="00EB06F9" w:rsidRDefault="00020251" w:rsidP="00020251">
                      <w:pPr>
                        <w:autoSpaceDE w:val="0"/>
                        <w:autoSpaceDN w:val="0"/>
                        <w:adjustRightInd w:val="0"/>
                        <w:jc w:val="both"/>
                        <w:rPr>
                          <w:rFonts w:ascii="AdvPSTIM10-R" w:hAnsi="AdvPSTIM10-R" w:cs="AdvPSTIM10-R"/>
                          <w:color w:val="000000"/>
                          <w:sz w:val="19"/>
                          <w:szCs w:val="19"/>
                          <w:lang w:val="en-US"/>
                        </w:rPr>
                      </w:pPr>
                      <w:r>
                        <w:rPr>
                          <w:rFonts w:ascii="AdvPSTIM10-R" w:hAnsi="AdvPSTIM10-R" w:cs="AdvPSTIM10-R"/>
                          <w:color w:val="000000"/>
                          <w:sz w:val="19"/>
                          <w:szCs w:val="19"/>
                          <w:lang w:val="en-US"/>
                        </w:rPr>
                        <w:t>‘</w:t>
                      </w:r>
                      <w:r w:rsidRPr="00EB06F9">
                        <w:rPr>
                          <w:rFonts w:ascii="AdvPSTIM10-R" w:hAnsi="AdvPSTIM10-R" w:cs="AdvPSTIM10-R"/>
                          <w:color w:val="000000"/>
                          <w:sz w:val="19"/>
                          <w:szCs w:val="19"/>
                          <w:lang w:val="en-US"/>
                        </w:rPr>
                        <w:t>Moving beyond studies of student persistence to more general theories, several</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authors have suggested that the numerical strength of a minority group has important</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consequences for the degree to which it is exposed to discrimination or more</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generally experience difficulties in various social settings. Particularly influential has</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been Kanter’s (</w:t>
                      </w:r>
                      <w:r w:rsidRPr="00EB06F9">
                        <w:rPr>
                          <w:rFonts w:ascii="AdvPSTIM10-R" w:hAnsi="AdvPSTIM10-R" w:cs="AdvPSTIM10-R"/>
                          <w:color w:val="0000FF"/>
                          <w:sz w:val="19"/>
                          <w:szCs w:val="19"/>
                          <w:lang w:val="en-US"/>
                        </w:rPr>
                        <w:t>1977a</w:t>
                      </w:r>
                      <w:r w:rsidRPr="00EB06F9">
                        <w:rPr>
                          <w:rFonts w:ascii="AdvPSTIM10-R" w:hAnsi="AdvPSTIM10-R" w:cs="AdvPSTIM10-R"/>
                          <w:color w:val="000000"/>
                          <w:sz w:val="19"/>
                          <w:szCs w:val="19"/>
                          <w:lang w:val="en-US"/>
                        </w:rPr>
                        <w:t xml:space="preserve">, </w:t>
                      </w:r>
                      <w:r w:rsidRPr="00EB06F9">
                        <w:rPr>
                          <w:rFonts w:ascii="AdvPSTIM10-R" w:hAnsi="AdvPSTIM10-R" w:cs="AdvPSTIM10-R"/>
                          <w:color w:val="0000FF"/>
                          <w:sz w:val="19"/>
                          <w:szCs w:val="19"/>
                          <w:lang w:val="en-US"/>
                        </w:rPr>
                        <w:t>1977b</w:t>
                      </w:r>
                      <w:r w:rsidRPr="00EB06F9">
                        <w:rPr>
                          <w:rFonts w:ascii="AdvPSTIM10-R" w:hAnsi="AdvPSTIM10-R" w:cs="AdvPSTIM10-R"/>
                          <w:color w:val="000000"/>
                          <w:sz w:val="19"/>
                          <w:szCs w:val="19"/>
                          <w:lang w:val="en-US"/>
                        </w:rPr>
                        <w:t>) theory of ‘tokenism’. Kanter suggests that small</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minorities, like women in predominantly male settings, are faced with special</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problems. The basic issue is that members of small minorities are not perceived and</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treated as individuals but rather as representatives or ‘tokens’ of their category. A</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related albeit different idea is that traditionally privileged majorities may feel that</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their advantaged position is threatened by the minority, and that the minority is</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 xml:space="preserve">therefore subject to various kinds of hostile behaviour (Blalock, </w:t>
                      </w:r>
                      <w:r w:rsidRPr="00EB06F9">
                        <w:rPr>
                          <w:rFonts w:ascii="AdvPSTIM10-R" w:hAnsi="AdvPSTIM10-R" w:cs="AdvPSTIM10-R"/>
                          <w:color w:val="0000FF"/>
                          <w:sz w:val="19"/>
                          <w:szCs w:val="19"/>
                          <w:lang w:val="en-US"/>
                        </w:rPr>
                        <w:t>1967</w:t>
                      </w:r>
                      <w:r w:rsidRPr="00EB06F9">
                        <w:rPr>
                          <w:rFonts w:ascii="AdvPSTIM10-R" w:hAnsi="AdvPSTIM10-R" w:cs="AdvPSTIM10-R"/>
                          <w:color w:val="000000"/>
                          <w:sz w:val="19"/>
                          <w:szCs w:val="19"/>
                          <w:lang w:val="en-US"/>
                        </w:rPr>
                        <w:t>). Kanter’s and</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Blalock’s theories give rise to different hypotheses. According to Kanter, the situation</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of the minority is more difficult the smaller it is. Blalock, on the other hand,</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argues that the majority is more likely to tolerate a very small minority group; when</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the relative size of the minority group increases, it is perceived to be a greater threat,</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and the majorities’ hostility increases.</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Kanter’s theory has not been supported in previous studies of the relationship</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between gender segregation and the dropout of female and male student dropout</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 xml:space="preserve">(Johnes &amp; McNabb, </w:t>
                      </w:r>
                      <w:r w:rsidRPr="00EB06F9">
                        <w:rPr>
                          <w:rFonts w:ascii="AdvPSTIM10-R" w:hAnsi="AdvPSTIM10-R" w:cs="AdvPSTIM10-R"/>
                          <w:color w:val="0000FF"/>
                          <w:sz w:val="19"/>
                          <w:szCs w:val="19"/>
                          <w:lang w:val="en-US"/>
                        </w:rPr>
                        <w:t>2004</w:t>
                      </w:r>
                      <w:r w:rsidRPr="00EB06F9">
                        <w:rPr>
                          <w:rFonts w:ascii="AdvPSTIM10-R" w:hAnsi="AdvPSTIM10-R" w:cs="AdvPSTIM10-R"/>
                          <w:color w:val="000000"/>
                          <w:sz w:val="19"/>
                          <w:szCs w:val="19"/>
                          <w:lang w:val="en-US"/>
                        </w:rPr>
                        <w:t xml:space="preserve">; Rogers &amp; Menaghan, </w:t>
                      </w:r>
                      <w:r w:rsidRPr="00EB06F9">
                        <w:rPr>
                          <w:rFonts w:ascii="AdvPSTIM10-R" w:hAnsi="AdvPSTIM10-R" w:cs="AdvPSTIM10-R"/>
                          <w:color w:val="0000FF"/>
                          <w:sz w:val="19"/>
                          <w:szCs w:val="19"/>
                          <w:lang w:val="en-US"/>
                        </w:rPr>
                        <w:t>1991</w:t>
                      </w:r>
                      <w:r w:rsidRPr="00EB06F9">
                        <w:rPr>
                          <w:rFonts w:ascii="AdvPSTIM10-R" w:hAnsi="AdvPSTIM10-R" w:cs="AdvPSTIM10-R"/>
                          <w:color w:val="000000"/>
                          <w:sz w:val="19"/>
                          <w:szCs w:val="19"/>
                          <w:lang w:val="en-US"/>
                        </w:rPr>
                        <w:t xml:space="preserve">; Sax, </w:t>
                      </w:r>
                      <w:r w:rsidRPr="00EB06F9">
                        <w:rPr>
                          <w:rFonts w:ascii="AdvPSTIM10-R" w:hAnsi="AdvPSTIM10-R" w:cs="AdvPSTIM10-R"/>
                          <w:color w:val="0000FF"/>
                          <w:sz w:val="19"/>
                          <w:szCs w:val="19"/>
                          <w:lang w:val="en-US"/>
                        </w:rPr>
                        <w:t>1996</w:t>
                      </w:r>
                      <w:r w:rsidRPr="00EB06F9">
                        <w:rPr>
                          <w:rFonts w:ascii="AdvPSTIM10-R" w:hAnsi="AdvPSTIM10-R" w:cs="AdvPSTIM10-R"/>
                          <w:color w:val="000000"/>
                          <w:sz w:val="19"/>
                          <w:szCs w:val="19"/>
                          <w:lang w:val="en-US"/>
                        </w:rPr>
                        <w:t>; Smith &amp; Naylor,</w:t>
                      </w:r>
                      <w:r>
                        <w:rPr>
                          <w:rFonts w:ascii="AdvPSTIM10-R" w:hAnsi="AdvPSTIM10-R" w:cs="AdvPSTIM10-R"/>
                          <w:color w:val="000000"/>
                          <w:sz w:val="19"/>
                          <w:szCs w:val="19"/>
                          <w:lang w:val="en-US"/>
                        </w:rPr>
                        <w:t xml:space="preserve"> </w:t>
                      </w:r>
                      <w:r w:rsidRPr="00EB06F9">
                        <w:rPr>
                          <w:rFonts w:ascii="AdvPSTIM10-R" w:hAnsi="AdvPSTIM10-R" w:cs="AdvPSTIM10-R"/>
                          <w:color w:val="0000FF"/>
                          <w:sz w:val="19"/>
                          <w:szCs w:val="19"/>
                          <w:lang w:val="en-US"/>
                        </w:rPr>
                        <w:t>2001</w:t>
                      </w:r>
                      <w:r w:rsidRPr="00EB06F9">
                        <w:rPr>
                          <w:rFonts w:ascii="AdvPSTIM10-R" w:hAnsi="AdvPSTIM10-R" w:cs="AdvPSTIM10-R"/>
                          <w:color w:val="000000"/>
                          <w:sz w:val="19"/>
                          <w:szCs w:val="19"/>
                          <w:lang w:val="en-US"/>
                        </w:rPr>
                        <w:t>). One reason may be that Kanter’s theory of relative numbers is gender neutral</w:t>
                      </w:r>
                      <w:r>
                        <w:rPr>
                          <w:rFonts w:ascii="AdvPSTIM10-R" w:hAnsi="AdvPSTIM10-R" w:cs="AdvPSTIM10-R"/>
                          <w:color w:val="000000"/>
                          <w:sz w:val="19"/>
                          <w:szCs w:val="19"/>
                          <w:lang w:val="en-US"/>
                        </w:rPr>
                        <w:t xml:space="preserve"> </w:t>
                      </w:r>
                      <w:r w:rsidRPr="00EB06F9">
                        <w:rPr>
                          <w:rFonts w:ascii="AdvPSTIM10-R" w:hAnsi="AdvPSTIM10-R" w:cs="AdvPSTIM10-R"/>
                          <w:color w:val="000000"/>
                          <w:sz w:val="19"/>
                          <w:szCs w:val="19"/>
                          <w:lang w:val="en-US"/>
                        </w:rPr>
                        <w:t>and do not take into account cultural and social influences of gender in the wider</w:t>
                      </w:r>
                    </w:p>
                    <w:p w14:paraId="4749CECB" w14:textId="77777777" w:rsidR="00020251" w:rsidRDefault="00020251" w:rsidP="00020251">
                      <w:pPr>
                        <w:jc w:val="both"/>
                        <w:rPr>
                          <w:lang w:val="nl-NL"/>
                        </w:rPr>
                      </w:pPr>
                      <w:r>
                        <w:rPr>
                          <w:rFonts w:ascii="AdvPSTIM10-R" w:hAnsi="AdvPSTIM10-R" w:cs="AdvPSTIM10-R"/>
                          <w:color w:val="000000"/>
                          <w:sz w:val="19"/>
                          <w:szCs w:val="19"/>
                        </w:rPr>
                        <w:t>social sphere.’</w:t>
                      </w:r>
                    </w:p>
                  </w:txbxContent>
                </v:textbox>
              </v:shape>
            </w:pict>
          </mc:Fallback>
        </mc:AlternateContent>
      </w:r>
    </w:p>
    <w:p w14:paraId="3C4AE4E0" w14:textId="77777777" w:rsidR="00020251" w:rsidRPr="00E45CD5" w:rsidRDefault="00020251" w:rsidP="00020251">
      <w:pPr>
        <w:spacing w:line="240" w:lineRule="auto"/>
        <w:rPr>
          <w:rFonts w:ascii="Arial" w:hAnsi="Arial" w:cs="Arial"/>
          <w:sz w:val="20"/>
          <w:szCs w:val="20"/>
          <w:lang w:val="nl-NL"/>
        </w:rPr>
      </w:pPr>
    </w:p>
    <w:p w14:paraId="203B2FC8" w14:textId="77777777" w:rsidR="00020251" w:rsidRPr="00E45CD5" w:rsidRDefault="00020251" w:rsidP="00020251">
      <w:pPr>
        <w:spacing w:line="240" w:lineRule="auto"/>
        <w:rPr>
          <w:rFonts w:ascii="Arial" w:hAnsi="Arial" w:cs="Arial"/>
          <w:sz w:val="20"/>
          <w:szCs w:val="20"/>
          <w:lang w:val="nl-NL"/>
        </w:rPr>
      </w:pPr>
    </w:p>
    <w:p w14:paraId="19A4CD4C" w14:textId="77777777" w:rsidR="00020251" w:rsidRPr="00E45CD5" w:rsidRDefault="00020251" w:rsidP="00020251">
      <w:pPr>
        <w:spacing w:line="240" w:lineRule="auto"/>
        <w:rPr>
          <w:rFonts w:ascii="Arial" w:hAnsi="Arial" w:cs="Arial"/>
          <w:sz w:val="20"/>
          <w:szCs w:val="20"/>
          <w:lang w:val="nl-NL"/>
        </w:rPr>
      </w:pPr>
    </w:p>
    <w:p w14:paraId="62649494" w14:textId="77777777" w:rsidR="00020251" w:rsidRPr="00E45CD5" w:rsidRDefault="00020251" w:rsidP="00020251">
      <w:pPr>
        <w:spacing w:line="240" w:lineRule="auto"/>
        <w:rPr>
          <w:rFonts w:ascii="Arial" w:hAnsi="Arial" w:cs="Arial"/>
          <w:sz w:val="20"/>
          <w:szCs w:val="20"/>
          <w:lang w:val="nl-NL"/>
        </w:rPr>
      </w:pPr>
    </w:p>
    <w:p w14:paraId="47A4E5E8" w14:textId="77777777" w:rsidR="00020251" w:rsidRPr="00E45CD5" w:rsidRDefault="00020251" w:rsidP="00020251">
      <w:pPr>
        <w:spacing w:line="240" w:lineRule="auto"/>
        <w:rPr>
          <w:rFonts w:ascii="Arial" w:hAnsi="Arial" w:cs="Arial"/>
          <w:sz w:val="20"/>
          <w:szCs w:val="20"/>
          <w:lang w:val="nl-NL"/>
        </w:rPr>
      </w:pPr>
    </w:p>
    <w:p w14:paraId="1C14BD97" w14:textId="77777777" w:rsidR="00020251" w:rsidRPr="00E45CD5" w:rsidRDefault="00020251" w:rsidP="00020251">
      <w:pPr>
        <w:spacing w:line="240" w:lineRule="auto"/>
        <w:rPr>
          <w:rFonts w:ascii="Arial" w:hAnsi="Arial" w:cs="Arial"/>
          <w:sz w:val="20"/>
          <w:szCs w:val="20"/>
          <w:lang w:val="nl-NL"/>
        </w:rPr>
      </w:pPr>
    </w:p>
    <w:p w14:paraId="62BA0832" w14:textId="77777777" w:rsidR="00020251" w:rsidRPr="00E45CD5" w:rsidRDefault="00020251" w:rsidP="00020251">
      <w:pPr>
        <w:spacing w:line="240" w:lineRule="auto"/>
        <w:rPr>
          <w:rFonts w:ascii="Arial" w:hAnsi="Arial" w:cs="Arial"/>
          <w:sz w:val="20"/>
          <w:szCs w:val="20"/>
          <w:lang w:val="nl-NL"/>
        </w:rPr>
      </w:pPr>
    </w:p>
    <w:p w14:paraId="15D944CD" w14:textId="77777777" w:rsidR="00020251" w:rsidRPr="00E45CD5" w:rsidRDefault="00020251" w:rsidP="00020251">
      <w:pPr>
        <w:spacing w:line="240" w:lineRule="auto"/>
        <w:rPr>
          <w:rFonts w:ascii="Arial" w:hAnsi="Arial" w:cs="Arial"/>
          <w:sz w:val="20"/>
          <w:szCs w:val="20"/>
          <w:lang w:val="nl-NL"/>
        </w:rPr>
      </w:pPr>
    </w:p>
    <w:p w14:paraId="4B312FC2" w14:textId="77777777" w:rsidR="00020251" w:rsidRPr="00E45CD5" w:rsidRDefault="00020251" w:rsidP="00020251">
      <w:pPr>
        <w:spacing w:line="240" w:lineRule="auto"/>
        <w:rPr>
          <w:rFonts w:ascii="Arial" w:hAnsi="Arial" w:cs="Arial"/>
          <w:sz w:val="20"/>
          <w:szCs w:val="20"/>
          <w:lang w:val="nl-NL"/>
        </w:rPr>
      </w:pPr>
    </w:p>
    <w:p w14:paraId="390203AA" w14:textId="77777777" w:rsidR="00020251" w:rsidRPr="00E45CD5" w:rsidRDefault="00020251" w:rsidP="00020251">
      <w:pPr>
        <w:spacing w:line="240" w:lineRule="auto"/>
        <w:rPr>
          <w:rFonts w:ascii="Arial" w:hAnsi="Arial" w:cs="Arial"/>
          <w:sz w:val="20"/>
          <w:szCs w:val="20"/>
          <w:lang w:val="nl-NL"/>
        </w:rPr>
      </w:pPr>
    </w:p>
    <w:p w14:paraId="1D535099" w14:textId="77777777" w:rsidR="00020251" w:rsidRPr="00E45CD5" w:rsidRDefault="00020251" w:rsidP="00020251">
      <w:pPr>
        <w:spacing w:line="240" w:lineRule="auto"/>
        <w:rPr>
          <w:rFonts w:ascii="Arial" w:hAnsi="Arial" w:cs="Arial"/>
          <w:sz w:val="20"/>
          <w:szCs w:val="20"/>
          <w:lang w:val="nl-NL"/>
        </w:rPr>
      </w:pPr>
    </w:p>
    <w:p w14:paraId="2047CE22" w14:textId="77777777" w:rsidR="00020251" w:rsidRPr="00E45CD5" w:rsidRDefault="00020251" w:rsidP="00020251">
      <w:pPr>
        <w:spacing w:line="240" w:lineRule="auto"/>
        <w:rPr>
          <w:rFonts w:ascii="Arial" w:hAnsi="Arial" w:cs="Arial"/>
          <w:sz w:val="20"/>
          <w:szCs w:val="20"/>
          <w:lang w:val="nl-NL"/>
        </w:rPr>
      </w:pPr>
    </w:p>
    <w:p w14:paraId="7DBBABF0" w14:textId="77777777" w:rsidR="00020251" w:rsidRPr="00E45CD5" w:rsidRDefault="00020251" w:rsidP="00020251">
      <w:pPr>
        <w:spacing w:line="240" w:lineRule="auto"/>
        <w:rPr>
          <w:rFonts w:ascii="Arial" w:hAnsi="Arial" w:cs="Arial"/>
          <w:sz w:val="20"/>
          <w:szCs w:val="20"/>
          <w:lang w:val="nl-NL"/>
        </w:rPr>
      </w:pPr>
    </w:p>
    <w:p w14:paraId="23C0223B" w14:textId="77777777" w:rsidR="00020251" w:rsidRPr="00E45CD5" w:rsidRDefault="00020251" w:rsidP="00020251">
      <w:pPr>
        <w:spacing w:line="240" w:lineRule="auto"/>
        <w:rPr>
          <w:rFonts w:ascii="Arial" w:hAnsi="Arial" w:cs="Arial"/>
          <w:sz w:val="20"/>
          <w:szCs w:val="20"/>
          <w:lang w:val="nl-NL"/>
        </w:rPr>
      </w:pPr>
    </w:p>
    <w:p w14:paraId="1CEDF7A5" w14:textId="77777777" w:rsidR="00020251" w:rsidRPr="00E45CD5" w:rsidRDefault="00020251" w:rsidP="00020251">
      <w:pPr>
        <w:tabs>
          <w:tab w:val="left" w:pos="-1440"/>
          <w:tab w:val="left" w:pos="-720"/>
        </w:tabs>
        <w:spacing w:line="240" w:lineRule="auto"/>
        <w:rPr>
          <w:rFonts w:ascii="Arial" w:hAnsi="Arial" w:cs="Arial"/>
          <w:sz w:val="20"/>
          <w:szCs w:val="20"/>
          <w:lang w:val="nl-NL"/>
        </w:rPr>
      </w:pPr>
    </w:p>
    <w:p w14:paraId="70422FFB" w14:textId="77777777" w:rsidR="00020251" w:rsidRPr="00E45CD5" w:rsidRDefault="00020251" w:rsidP="00020251">
      <w:pPr>
        <w:tabs>
          <w:tab w:val="left" w:pos="-1440"/>
          <w:tab w:val="left" w:pos="-720"/>
        </w:tabs>
        <w:spacing w:line="240" w:lineRule="auto"/>
        <w:rPr>
          <w:rFonts w:ascii="Arial" w:hAnsi="Arial" w:cs="Arial"/>
          <w:sz w:val="20"/>
          <w:szCs w:val="20"/>
          <w:lang w:val="nl-NL"/>
        </w:rPr>
      </w:pPr>
    </w:p>
    <w:p w14:paraId="3637B57B" w14:textId="77777777" w:rsidR="00020251" w:rsidRPr="00E45CD5" w:rsidRDefault="00020251" w:rsidP="00020251">
      <w:pPr>
        <w:tabs>
          <w:tab w:val="left" w:pos="-1440"/>
          <w:tab w:val="left" w:pos="-720"/>
        </w:tabs>
        <w:spacing w:line="240" w:lineRule="auto"/>
        <w:rPr>
          <w:rFonts w:ascii="Arial" w:hAnsi="Arial" w:cs="Arial"/>
          <w:sz w:val="20"/>
          <w:szCs w:val="20"/>
          <w:lang w:val="nl-NL"/>
        </w:rPr>
      </w:pPr>
    </w:p>
    <w:p w14:paraId="123A0EEC" w14:textId="77777777" w:rsidR="00020251" w:rsidRPr="00E45CD5" w:rsidRDefault="00020251" w:rsidP="00020251">
      <w:pPr>
        <w:tabs>
          <w:tab w:val="left" w:pos="-1440"/>
          <w:tab w:val="left" w:pos="-720"/>
        </w:tabs>
        <w:spacing w:line="240" w:lineRule="auto"/>
        <w:rPr>
          <w:rFonts w:ascii="Arial" w:hAnsi="Arial" w:cs="Arial"/>
          <w:sz w:val="20"/>
          <w:szCs w:val="20"/>
          <w:lang w:val="nl-NL"/>
        </w:rPr>
      </w:pPr>
    </w:p>
    <w:p w14:paraId="585B220A" w14:textId="77777777" w:rsidR="00020251" w:rsidRPr="00E45CD5" w:rsidRDefault="00020251" w:rsidP="00020251">
      <w:pPr>
        <w:tabs>
          <w:tab w:val="left" w:pos="-1440"/>
          <w:tab w:val="left" w:pos="-720"/>
        </w:tabs>
        <w:spacing w:line="240" w:lineRule="auto"/>
        <w:rPr>
          <w:rFonts w:ascii="Arial" w:hAnsi="Arial" w:cs="Arial"/>
          <w:sz w:val="20"/>
          <w:szCs w:val="20"/>
          <w:lang w:val="nl-NL"/>
        </w:rPr>
      </w:pPr>
    </w:p>
    <w:p w14:paraId="3B35BD37" w14:textId="77777777" w:rsidR="00020251" w:rsidRPr="00E45CD5" w:rsidRDefault="00020251" w:rsidP="00020251">
      <w:pPr>
        <w:tabs>
          <w:tab w:val="left" w:pos="-1440"/>
          <w:tab w:val="left" w:pos="-720"/>
        </w:tabs>
        <w:spacing w:line="240" w:lineRule="auto"/>
        <w:rPr>
          <w:rFonts w:ascii="Arial" w:hAnsi="Arial" w:cs="Arial"/>
          <w:sz w:val="20"/>
          <w:szCs w:val="20"/>
          <w:lang w:val="nl-NL"/>
        </w:rPr>
      </w:pPr>
    </w:p>
    <w:p w14:paraId="17A8A9D2" w14:textId="77777777" w:rsidR="00020251" w:rsidRPr="00E45CD5" w:rsidRDefault="00020251" w:rsidP="00020251">
      <w:pPr>
        <w:tabs>
          <w:tab w:val="left" w:pos="-1440"/>
          <w:tab w:val="left" w:pos="-720"/>
        </w:tabs>
        <w:spacing w:line="240" w:lineRule="auto"/>
        <w:rPr>
          <w:rFonts w:ascii="Arial" w:hAnsi="Arial" w:cs="Arial"/>
          <w:sz w:val="20"/>
          <w:szCs w:val="20"/>
          <w:lang w:val="nl-NL"/>
        </w:rPr>
      </w:pPr>
    </w:p>
    <w:p w14:paraId="3C8791AA"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r w:rsidRPr="00E45CD5">
        <w:rPr>
          <w:rFonts w:ascii="Arial" w:hAnsi="Arial" w:cs="Arial"/>
          <w:b/>
          <w:kern w:val="1"/>
          <w:sz w:val="20"/>
          <w:szCs w:val="20"/>
          <w:lang w:val="nl-NL"/>
        </w:rPr>
        <w:t>Weergegeven als:</w:t>
      </w:r>
      <w:r w:rsidRPr="00E45CD5">
        <w:rPr>
          <w:rFonts w:ascii="Arial" w:hAnsi="Arial" w:cs="Arial"/>
          <w:kern w:val="1"/>
          <w:sz w:val="20"/>
          <w:szCs w:val="20"/>
          <w:lang w:val="nl-NL"/>
        </w:rPr>
        <w:t xml:space="preserve"> </w:t>
      </w:r>
    </w:p>
    <w:p w14:paraId="37EBFF53"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
    <w:p w14:paraId="73AEE173" w14:textId="77777777" w:rsidR="00020251" w:rsidRPr="00E45CD5" w:rsidRDefault="00020251" w:rsidP="00020251">
      <w:pPr>
        <w:spacing w:line="240" w:lineRule="auto"/>
        <w:jc w:val="both"/>
        <w:rPr>
          <w:rFonts w:ascii="Arial" w:eastAsia="Calibri" w:hAnsi="Arial" w:cs="Arial"/>
          <w:sz w:val="20"/>
          <w:szCs w:val="20"/>
        </w:rPr>
      </w:pPr>
      <w:r w:rsidRPr="00E45CD5">
        <w:rPr>
          <w:rFonts w:ascii="Arial" w:eastAsia="Calibri" w:hAnsi="Arial" w:cs="Arial"/>
          <w:sz w:val="20"/>
          <w:szCs w:val="20"/>
        </w:rPr>
        <w:t>We kunnen het verschil in studie keuze naar geslacht echter ook veel algemener gaan bekijken. Zoals bijvoorbeeld Kanter gedaan heeft met zijn theorie van ‘</w:t>
      </w:r>
      <w:proofErr w:type="spellStart"/>
      <w:r w:rsidRPr="00E45CD5">
        <w:rPr>
          <w:rFonts w:ascii="Arial" w:eastAsia="Calibri" w:hAnsi="Arial" w:cs="Arial"/>
          <w:sz w:val="20"/>
          <w:szCs w:val="20"/>
        </w:rPr>
        <w:t>tokenism</w:t>
      </w:r>
      <w:proofErr w:type="spellEnd"/>
      <w:r w:rsidRPr="00E45CD5">
        <w:rPr>
          <w:rFonts w:ascii="Arial" w:eastAsia="Calibri" w:hAnsi="Arial" w:cs="Arial"/>
          <w:sz w:val="20"/>
          <w:szCs w:val="20"/>
        </w:rPr>
        <w:t xml:space="preserve">’. Deze stelt dat minderheden zoals vrouwen, in wat beschouwd wordt als voornamelijk mannelijke richtingen, te maken hebben met een aantal specifieke problemen. Specifiek stelt hij dat leden van minderheden niet behandeld worden als individuele mensen maar als vertegenwoordigers van een groep. De meerderheid kan de minderheid dan gaan zien als een vijandelijke groep omdat deze mogelijk hun positie bedreigen. Vanaf hier loopt </w:t>
      </w:r>
      <w:r w:rsidRPr="00E45CD5">
        <w:rPr>
          <w:rFonts w:ascii="Arial" w:eastAsia="Calibri" w:hAnsi="Arial" w:cs="Arial"/>
          <w:sz w:val="20"/>
          <w:szCs w:val="20"/>
        </w:rPr>
        <w:lastRenderedPageBreak/>
        <w:t xml:space="preserve">zijn visie echter anders dan deze van </w:t>
      </w:r>
      <w:proofErr w:type="spellStart"/>
      <w:r w:rsidRPr="00E45CD5">
        <w:rPr>
          <w:rFonts w:ascii="Arial" w:eastAsia="Calibri" w:hAnsi="Arial" w:cs="Arial"/>
          <w:sz w:val="20"/>
          <w:szCs w:val="20"/>
        </w:rPr>
        <w:t>Blalock</w:t>
      </w:r>
      <w:proofErr w:type="spellEnd"/>
      <w:r w:rsidRPr="00E45CD5">
        <w:rPr>
          <w:rFonts w:ascii="Arial" w:eastAsia="Calibri" w:hAnsi="Arial" w:cs="Arial"/>
          <w:sz w:val="20"/>
          <w:szCs w:val="20"/>
        </w:rPr>
        <w:t xml:space="preserve">. Kanter beweert dat de positie van een minderheid steeds slechter wordt naarmate ze kleiner wordt. </w:t>
      </w:r>
      <w:proofErr w:type="spellStart"/>
      <w:r w:rsidRPr="00E45CD5">
        <w:rPr>
          <w:rFonts w:ascii="Arial" w:eastAsia="Calibri" w:hAnsi="Arial" w:cs="Arial"/>
          <w:sz w:val="20"/>
          <w:szCs w:val="20"/>
        </w:rPr>
        <w:t>Blalock</w:t>
      </w:r>
      <w:proofErr w:type="spellEnd"/>
      <w:r w:rsidRPr="00E45CD5">
        <w:rPr>
          <w:rFonts w:ascii="Arial" w:eastAsia="Calibri" w:hAnsi="Arial" w:cs="Arial"/>
          <w:sz w:val="20"/>
          <w:szCs w:val="20"/>
        </w:rPr>
        <w:t xml:space="preserve"> daarentegen beweert dat hoe kleiner een minderheid,  hoe waarschijnlijker het is dat deze aanvaard zal worden door de meerderheid. Hij gaat er van uit dat hoe kleiner de minderheidsgroep is, hoe minder bedreigend ze is voor de meerderheid en bijgevolg hoe meer kans ze maakt om aanvaard te worden. Kanter zijn theorie werd echter nog nooit gebruikt bij gender studies en dit omwille van het feit dat ze geen rekening houdt met het sociale. </w:t>
      </w:r>
      <w:r w:rsidRPr="00E45CD5">
        <w:rPr>
          <w:rFonts w:ascii="Arial" w:eastAsia="Calibri" w:hAnsi="Arial" w:cs="Arial"/>
          <w:sz w:val="20"/>
          <w:szCs w:val="20"/>
        </w:rPr>
        <w:fldChar w:fldCharType="begin"/>
      </w:r>
      <w:r w:rsidRPr="00E45CD5">
        <w:rPr>
          <w:rFonts w:ascii="Arial" w:eastAsia="Calibri" w:hAnsi="Arial" w:cs="Arial"/>
          <w:sz w:val="20"/>
          <w:szCs w:val="20"/>
        </w:rPr>
        <w:instrText xml:space="preserve"> ADDIN REFMGR.CITE &lt;Refman&gt;&lt;Cite&gt;&lt;Author&gt;Mastekaasa&lt;/Author&gt;&lt;Year&gt;2008&lt;/Year&gt;&lt;RecNum&gt;1&lt;/RecNum&gt;&lt;IDText&gt;Educational choice and persistence in male- and female-dominated fields&lt;/IDText&gt;&lt;MDL Ref_Type="Journal"&gt;&lt;Ref_Type&gt;Journal&lt;/Ref_Type&gt;&lt;Ref_ID&gt;1&lt;/Ref_ID&gt;&lt;Title_Primary&gt;Educational choice and persistence in male- and female-dominated fields&lt;/Title_Primary&gt;&lt;Authors_Primary&gt;Mastekaasa,A.&lt;/Authors_Primary&gt;&lt;Authors_Primary&gt;Smeby,J.C.&lt;/Authors_Primary&gt;&lt;Date_Primary&gt;2008/2&lt;/Date_Primary&gt;&lt;Keywords&gt;attrition&lt;/Keywords&gt;&lt;Keywords&gt;educational choice&lt;/Keywords&gt;&lt;Keywords&gt;GENDER&lt;/Keywords&gt;&lt;Keywords&gt;gender segregation&lt;/Keywords&gt;&lt;Keywords&gt;higher education&lt;/Keywords&gt;&lt;Keywords&gt;MATHEMATICS&lt;/Keywords&gt;&lt;Keywords&gt;OPPORTUNITIES&lt;/Keywords&gt;&lt;Keywords&gt;persistence&lt;/Keywords&gt;&lt;Keywords&gt;PROBABILITY&lt;/Keywords&gt;&lt;Keywords&gt;RETENTION&lt;/Keywords&gt;&lt;Keywords&gt;SELECTION&lt;/Keywords&gt;&lt;Keywords&gt;student dropout&lt;/Keywords&gt;&lt;Keywords&gt;TOKENISM&lt;/Keywords&gt;&lt;Keywords&gt;UNIVERSITY-STUDENTS&lt;/Keywords&gt;&lt;Keywords&gt;WOMEN&lt;/Keywords&gt;&lt;Reprint&gt;Not in File&lt;/Reprint&gt;&lt;Start_Page&gt;189&lt;/Start_Page&gt;&lt;End_Page&gt;202&lt;/End_Page&gt;&lt;Periodical&gt;Higher Education&lt;/Periodical&gt;&lt;Volume&gt;55&lt;/Volume&gt;&lt;Issue&gt;2&lt;/Issue&gt;&lt;User_Def_2&gt;!!!!!!!&lt;/User_Def_2&gt;&lt;ISSN_ISBN&gt;0018-1560&lt;/ISSN_ISBN&gt;&lt;Address&gt;Oslo Univ Coll, Ctr Study Profess, N-0130 Oslo, Norway&amp;#xA;Univ Oslo, Oslo, Norway&lt;/Address&gt;&lt;Web_URL&gt;ISI:000252874000004&lt;/Web_URL&gt;&lt;ZZ_JournalFull&gt;&lt;f name="System"&gt;Higher Education&lt;/f&gt;&lt;/ZZ_JournalFull&gt;&lt;ZZ_WorkformID&gt;1&lt;/ZZ_WorkformID&gt;&lt;/MDL&gt;&lt;/Cite&gt;&lt;/Refman&gt;</w:instrText>
      </w:r>
      <w:r w:rsidRPr="00E45CD5">
        <w:rPr>
          <w:rFonts w:ascii="Arial" w:eastAsia="Calibri" w:hAnsi="Arial" w:cs="Arial"/>
          <w:sz w:val="20"/>
          <w:szCs w:val="20"/>
        </w:rPr>
        <w:fldChar w:fldCharType="separate"/>
      </w:r>
      <w:r w:rsidRPr="00E45CD5">
        <w:rPr>
          <w:rFonts w:ascii="Arial" w:eastAsia="Calibri" w:hAnsi="Arial" w:cs="Arial"/>
          <w:sz w:val="20"/>
          <w:szCs w:val="20"/>
        </w:rPr>
        <w:t>(</w:t>
      </w:r>
      <w:proofErr w:type="spellStart"/>
      <w:r w:rsidRPr="00E45CD5">
        <w:rPr>
          <w:rFonts w:ascii="Arial" w:eastAsia="Calibri" w:hAnsi="Arial" w:cs="Arial"/>
          <w:sz w:val="20"/>
          <w:szCs w:val="20"/>
        </w:rPr>
        <w:t>Mastekaasa</w:t>
      </w:r>
      <w:proofErr w:type="spellEnd"/>
      <w:r w:rsidRPr="00E45CD5">
        <w:rPr>
          <w:rFonts w:ascii="Arial" w:eastAsia="Calibri" w:hAnsi="Arial" w:cs="Arial"/>
          <w:sz w:val="20"/>
          <w:szCs w:val="20"/>
        </w:rPr>
        <w:t xml:space="preserve"> &amp; </w:t>
      </w:r>
      <w:proofErr w:type="spellStart"/>
      <w:r w:rsidRPr="00E45CD5">
        <w:rPr>
          <w:rFonts w:ascii="Arial" w:eastAsia="Calibri" w:hAnsi="Arial" w:cs="Arial"/>
          <w:sz w:val="20"/>
          <w:szCs w:val="20"/>
        </w:rPr>
        <w:t>Smeby</w:t>
      </w:r>
      <w:proofErr w:type="spellEnd"/>
      <w:r w:rsidRPr="00E45CD5">
        <w:rPr>
          <w:rFonts w:ascii="Arial" w:eastAsia="Calibri" w:hAnsi="Arial" w:cs="Arial"/>
          <w:sz w:val="20"/>
          <w:szCs w:val="20"/>
        </w:rPr>
        <w:t>, 2008)</w:t>
      </w:r>
      <w:r w:rsidRPr="00E45CD5">
        <w:rPr>
          <w:rFonts w:ascii="Arial" w:eastAsia="Calibri" w:hAnsi="Arial" w:cs="Arial"/>
          <w:sz w:val="20"/>
          <w:szCs w:val="20"/>
        </w:rPr>
        <w:fldChar w:fldCharType="end"/>
      </w:r>
    </w:p>
    <w:p w14:paraId="170BF1DD"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
    <w:p w14:paraId="404A7324"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Correcte manier van weergeven:</w:t>
      </w:r>
    </w:p>
    <w:p w14:paraId="03300D57" w14:textId="77777777" w:rsidR="00020251" w:rsidRPr="00E45CD5" w:rsidRDefault="00020251" w:rsidP="00020251">
      <w:pPr>
        <w:tabs>
          <w:tab w:val="left" w:pos="-1440"/>
          <w:tab w:val="left" w:pos="-720"/>
        </w:tabs>
        <w:spacing w:line="240" w:lineRule="auto"/>
        <w:rPr>
          <w:rFonts w:ascii="Arial" w:hAnsi="Arial" w:cs="Arial"/>
          <w:b/>
          <w:kern w:val="1"/>
          <w:sz w:val="20"/>
          <w:szCs w:val="20"/>
          <w:u w:val="single"/>
          <w:lang w:val="nl-NL"/>
        </w:rPr>
      </w:pPr>
    </w:p>
    <w:p w14:paraId="657C6D3D"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r w:rsidRPr="00E45CD5">
        <w:rPr>
          <w:rFonts w:ascii="Arial" w:eastAsia="Calibri" w:hAnsi="Arial" w:cs="Arial"/>
          <w:sz w:val="20"/>
          <w:szCs w:val="20"/>
        </w:rPr>
        <w:t xml:space="preserve">We kunnen het verschil in studiekeuze naar geslacht echter ook algemener gaan bekijken. </w:t>
      </w:r>
      <w:proofErr w:type="spellStart"/>
      <w:r w:rsidRPr="00E45CD5">
        <w:rPr>
          <w:rFonts w:ascii="Arial" w:eastAsia="Calibri" w:hAnsi="Arial" w:cs="Arial"/>
          <w:sz w:val="20"/>
          <w:szCs w:val="20"/>
        </w:rPr>
        <w:t>Mastekaasa</w:t>
      </w:r>
      <w:proofErr w:type="spellEnd"/>
      <w:r w:rsidRPr="00E45CD5">
        <w:rPr>
          <w:rFonts w:ascii="Arial" w:eastAsia="Calibri" w:hAnsi="Arial" w:cs="Arial"/>
          <w:sz w:val="20"/>
          <w:szCs w:val="20"/>
        </w:rPr>
        <w:t xml:space="preserve"> en zijn collega </w:t>
      </w:r>
      <w:proofErr w:type="spellStart"/>
      <w:r w:rsidRPr="00E45CD5">
        <w:rPr>
          <w:rFonts w:ascii="Arial" w:eastAsia="Calibri" w:hAnsi="Arial" w:cs="Arial"/>
          <w:sz w:val="20"/>
          <w:szCs w:val="20"/>
        </w:rPr>
        <w:t>Smeby</w:t>
      </w:r>
      <w:proofErr w:type="spellEnd"/>
      <w:r w:rsidRPr="00E45CD5">
        <w:rPr>
          <w:rFonts w:ascii="Arial" w:eastAsia="Calibri" w:hAnsi="Arial" w:cs="Arial"/>
          <w:sz w:val="20"/>
          <w:szCs w:val="20"/>
        </w:rPr>
        <w:t xml:space="preserve"> (2008, p. 193) halen in dat verband de theorie van het ‘</w:t>
      </w:r>
      <w:proofErr w:type="spellStart"/>
      <w:r w:rsidRPr="00E45CD5">
        <w:rPr>
          <w:rFonts w:ascii="Arial" w:eastAsia="Calibri" w:hAnsi="Arial" w:cs="Arial"/>
          <w:sz w:val="20"/>
          <w:szCs w:val="20"/>
        </w:rPr>
        <w:t>Tokenism</w:t>
      </w:r>
      <w:proofErr w:type="spellEnd"/>
      <w:r w:rsidRPr="00E45CD5">
        <w:rPr>
          <w:rFonts w:ascii="Arial" w:eastAsia="Calibri" w:hAnsi="Arial" w:cs="Arial"/>
          <w:sz w:val="20"/>
          <w:szCs w:val="20"/>
        </w:rPr>
        <w:t xml:space="preserve">’ aan, naar voren gebracht door Kanter. Deze theorie stelt dat vrouwen in een minderheidspositie gezien kunnen worden als ‘tokens’ of symbolen van hun minderheidsgroep, in plaats van als echte personen. Dit kan als problematisch gezien worden, wanneer de minderheidsgroep als een gevaar gezien wordt door personen van een dominante meerderheidsgroep, zoals </w:t>
      </w:r>
      <w:proofErr w:type="spellStart"/>
      <w:r w:rsidRPr="00E45CD5">
        <w:rPr>
          <w:rFonts w:ascii="Arial" w:eastAsia="Calibri" w:hAnsi="Arial" w:cs="Arial"/>
          <w:sz w:val="20"/>
          <w:szCs w:val="20"/>
        </w:rPr>
        <w:t>Blalock</w:t>
      </w:r>
      <w:proofErr w:type="spellEnd"/>
      <w:r w:rsidRPr="00E45CD5">
        <w:rPr>
          <w:rFonts w:ascii="Arial" w:eastAsia="Calibri" w:hAnsi="Arial" w:cs="Arial"/>
          <w:sz w:val="20"/>
          <w:szCs w:val="20"/>
        </w:rPr>
        <w:t xml:space="preserve"> (</w:t>
      </w:r>
      <w:proofErr w:type="spellStart"/>
      <w:r w:rsidRPr="00E45CD5">
        <w:rPr>
          <w:rFonts w:ascii="Arial" w:eastAsia="Calibri" w:hAnsi="Arial" w:cs="Arial"/>
          <w:sz w:val="20"/>
          <w:szCs w:val="20"/>
        </w:rPr>
        <w:t>Mastekaasa</w:t>
      </w:r>
      <w:proofErr w:type="spellEnd"/>
      <w:r w:rsidRPr="00E45CD5">
        <w:rPr>
          <w:rFonts w:ascii="Arial" w:eastAsia="Calibri" w:hAnsi="Arial" w:cs="Arial"/>
          <w:sz w:val="20"/>
          <w:szCs w:val="20"/>
        </w:rPr>
        <w:t xml:space="preserve"> &amp; </w:t>
      </w:r>
      <w:proofErr w:type="spellStart"/>
      <w:r w:rsidRPr="00E45CD5">
        <w:rPr>
          <w:rFonts w:ascii="Arial" w:eastAsia="Calibri" w:hAnsi="Arial" w:cs="Arial"/>
          <w:sz w:val="20"/>
          <w:szCs w:val="20"/>
        </w:rPr>
        <w:t>Smeby</w:t>
      </w:r>
      <w:proofErr w:type="spellEnd"/>
      <w:r w:rsidRPr="00E45CD5">
        <w:rPr>
          <w:rFonts w:ascii="Arial" w:eastAsia="Calibri" w:hAnsi="Arial" w:cs="Arial"/>
          <w:sz w:val="20"/>
          <w:szCs w:val="20"/>
        </w:rPr>
        <w:t xml:space="preserve">, 2008) al aantoonde. </w:t>
      </w:r>
      <w:proofErr w:type="spellStart"/>
      <w:r w:rsidRPr="00E45CD5">
        <w:rPr>
          <w:rFonts w:ascii="Arial" w:eastAsia="Calibri" w:hAnsi="Arial" w:cs="Arial"/>
          <w:sz w:val="20"/>
          <w:szCs w:val="20"/>
        </w:rPr>
        <w:t>Mastekaasa</w:t>
      </w:r>
      <w:proofErr w:type="spellEnd"/>
      <w:r w:rsidRPr="00E45CD5">
        <w:rPr>
          <w:rFonts w:ascii="Arial" w:eastAsia="Calibri" w:hAnsi="Arial" w:cs="Arial"/>
          <w:sz w:val="20"/>
          <w:szCs w:val="20"/>
        </w:rPr>
        <w:t xml:space="preserve"> en zijn collega </w:t>
      </w:r>
      <w:proofErr w:type="spellStart"/>
      <w:r w:rsidRPr="00E45CD5">
        <w:rPr>
          <w:rFonts w:ascii="Arial" w:eastAsia="Calibri" w:hAnsi="Arial" w:cs="Arial"/>
          <w:sz w:val="20"/>
          <w:szCs w:val="20"/>
        </w:rPr>
        <w:t>Smeby</w:t>
      </w:r>
      <w:proofErr w:type="spellEnd"/>
      <w:r w:rsidRPr="00E45CD5">
        <w:rPr>
          <w:rFonts w:ascii="Arial" w:eastAsia="Calibri" w:hAnsi="Arial" w:cs="Arial"/>
          <w:sz w:val="20"/>
          <w:szCs w:val="20"/>
        </w:rPr>
        <w:t xml:space="preserve"> (2008) halen echter een belangrijk verschil aan tussen de theorieën van Kanter en die van </w:t>
      </w:r>
      <w:proofErr w:type="spellStart"/>
      <w:r w:rsidRPr="00E45CD5">
        <w:rPr>
          <w:rFonts w:ascii="Arial" w:eastAsia="Calibri" w:hAnsi="Arial" w:cs="Arial"/>
          <w:sz w:val="20"/>
          <w:szCs w:val="20"/>
        </w:rPr>
        <w:t>Blalock</w:t>
      </w:r>
      <w:proofErr w:type="spellEnd"/>
      <w:r w:rsidRPr="00E45CD5">
        <w:rPr>
          <w:rFonts w:ascii="Arial" w:eastAsia="Calibri" w:hAnsi="Arial" w:cs="Arial"/>
          <w:sz w:val="20"/>
          <w:szCs w:val="20"/>
        </w:rPr>
        <w:t xml:space="preserve">. Volgens Kanter zijn de problemen het grootst wanneer de minderheidsgroep klein is, terwijl </w:t>
      </w:r>
      <w:proofErr w:type="spellStart"/>
      <w:r w:rsidRPr="00E45CD5">
        <w:rPr>
          <w:rFonts w:ascii="Arial" w:eastAsia="Calibri" w:hAnsi="Arial" w:cs="Arial"/>
          <w:sz w:val="20"/>
          <w:szCs w:val="20"/>
        </w:rPr>
        <w:t>Blalock</w:t>
      </w:r>
      <w:proofErr w:type="spellEnd"/>
      <w:r w:rsidRPr="00E45CD5">
        <w:rPr>
          <w:rFonts w:ascii="Arial" w:eastAsia="Calibri" w:hAnsi="Arial" w:cs="Arial"/>
          <w:sz w:val="20"/>
          <w:szCs w:val="20"/>
        </w:rPr>
        <w:t xml:space="preserve"> net stelt dat de problemen groeien wanneer de minderheidsgroep in aantal toeneemt. </w:t>
      </w:r>
      <w:proofErr w:type="spellStart"/>
      <w:r w:rsidRPr="00E45CD5">
        <w:rPr>
          <w:rFonts w:ascii="Arial" w:eastAsia="Calibri" w:hAnsi="Arial" w:cs="Arial"/>
          <w:sz w:val="20"/>
          <w:szCs w:val="20"/>
        </w:rPr>
        <w:t>Mastekaasa</w:t>
      </w:r>
      <w:proofErr w:type="spellEnd"/>
      <w:r w:rsidRPr="00E45CD5">
        <w:rPr>
          <w:rFonts w:ascii="Arial" w:eastAsia="Calibri" w:hAnsi="Arial" w:cs="Arial"/>
          <w:sz w:val="20"/>
          <w:szCs w:val="20"/>
        </w:rPr>
        <w:t xml:space="preserve"> en zijn collega </w:t>
      </w:r>
      <w:proofErr w:type="spellStart"/>
      <w:r w:rsidRPr="00E45CD5">
        <w:rPr>
          <w:rFonts w:ascii="Arial" w:eastAsia="Calibri" w:hAnsi="Arial" w:cs="Arial"/>
          <w:sz w:val="20"/>
          <w:szCs w:val="20"/>
        </w:rPr>
        <w:t>Smeby</w:t>
      </w:r>
      <w:proofErr w:type="spellEnd"/>
      <w:r w:rsidRPr="00E45CD5">
        <w:rPr>
          <w:rFonts w:ascii="Arial" w:eastAsia="Calibri" w:hAnsi="Arial" w:cs="Arial"/>
          <w:sz w:val="20"/>
          <w:szCs w:val="20"/>
        </w:rPr>
        <w:t xml:space="preserve"> stellen verder dat de theorie van Kanter slechts weinig gebruikt werd bij genderstudies. Volgens beide auteurs wordt dit veroorzaakt door het feit dat de theorie te weinig rekening houdt met het sociale.</w:t>
      </w:r>
    </w:p>
    <w:p w14:paraId="7177A490"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p>
    <w:p w14:paraId="15F10C45"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rPr>
      </w:pPr>
      <w:r w:rsidRPr="00E45CD5">
        <w:rPr>
          <w:rFonts w:ascii="Arial" w:eastAsia="Calibri" w:hAnsi="Arial" w:cs="Arial"/>
          <w:b/>
          <w:sz w:val="20"/>
          <w:szCs w:val="20"/>
        </w:rPr>
        <w:t>Opmerking bij het gebruik van secundaire bronnen:</w:t>
      </w:r>
    </w:p>
    <w:p w14:paraId="5B707288"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r w:rsidRPr="00E45CD5">
        <w:rPr>
          <w:rFonts w:ascii="Arial" w:eastAsia="Calibri" w:hAnsi="Arial" w:cs="Arial"/>
          <w:sz w:val="20"/>
          <w:szCs w:val="20"/>
        </w:rPr>
        <w:tab/>
        <w:t>-Waar het mogelijk is, gebruik de originele bron!</w:t>
      </w:r>
    </w:p>
    <w:p w14:paraId="03E69F7B" w14:textId="77777777" w:rsidR="00020251" w:rsidRPr="00E45CD5" w:rsidRDefault="00020251" w:rsidP="00020251">
      <w:pPr>
        <w:tabs>
          <w:tab w:val="left" w:pos="-1440"/>
          <w:tab w:val="left" w:pos="-720"/>
        </w:tabs>
        <w:spacing w:line="240" w:lineRule="auto"/>
        <w:ind w:left="708"/>
        <w:jc w:val="both"/>
        <w:rPr>
          <w:rFonts w:ascii="Arial" w:eastAsia="Calibri" w:hAnsi="Arial" w:cs="Arial"/>
          <w:sz w:val="20"/>
          <w:szCs w:val="20"/>
        </w:rPr>
      </w:pPr>
      <w:r w:rsidRPr="00E45CD5">
        <w:rPr>
          <w:rFonts w:ascii="Arial" w:eastAsia="Calibri" w:hAnsi="Arial" w:cs="Arial"/>
          <w:sz w:val="20"/>
          <w:szCs w:val="20"/>
        </w:rPr>
        <w:t>-Telkens je de auteur vermeldt van de originele bron, duidelijk aangeven dat je de informatie in de secundaire bron haalt</w:t>
      </w:r>
    </w:p>
    <w:p w14:paraId="4180DD84" w14:textId="77777777" w:rsidR="00020251" w:rsidRPr="00E45CD5" w:rsidRDefault="00020251" w:rsidP="00020251">
      <w:pPr>
        <w:tabs>
          <w:tab w:val="left" w:pos="-1440"/>
          <w:tab w:val="left" w:pos="-720"/>
        </w:tabs>
        <w:spacing w:line="240" w:lineRule="auto"/>
        <w:ind w:left="708"/>
        <w:jc w:val="both"/>
        <w:rPr>
          <w:rFonts w:ascii="Arial" w:eastAsia="Calibri" w:hAnsi="Arial" w:cs="Arial"/>
          <w:sz w:val="20"/>
          <w:szCs w:val="20"/>
        </w:rPr>
      </w:pPr>
      <w:r w:rsidRPr="00E45CD5">
        <w:rPr>
          <w:rFonts w:ascii="Arial" w:eastAsia="Calibri" w:hAnsi="Arial" w:cs="Arial"/>
          <w:sz w:val="20"/>
          <w:szCs w:val="20"/>
        </w:rPr>
        <w:t>-Geef duidelijk weer of de secundaire bron de originele bron citeert (door cursief te gebruiken, of letterlijk te stellen ‘geciteerd in’) of zelf interpreteert</w:t>
      </w:r>
    </w:p>
    <w:p w14:paraId="07BEF4C3" w14:textId="77777777" w:rsidR="00020251" w:rsidRPr="00E45CD5" w:rsidRDefault="00020251" w:rsidP="00020251">
      <w:pPr>
        <w:tabs>
          <w:tab w:val="left" w:pos="-1440"/>
          <w:tab w:val="left" w:pos="-720"/>
        </w:tabs>
        <w:spacing w:line="240" w:lineRule="auto"/>
        <w:rPr>
          <w:rFonts w:ascii="Arial" w:eastAsia="Calibri" w:hAnsi="Arial" w:cs="Arial"/>
          <w:sz w:val="20"/>
          <w:szCs w:val="20"/>
        </w:rPr>
      </w:pPr>
    </w:p>
    <w:p w14:paraId="43C08E38"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2: Geen onderscheid tussen eigen samenvatting en citeren van andere bron</w:t>
      </w:r>
    </w:p>
    <w:p w14:paraId="4D1CC8B8" w14:textId="77777777" w:rsidR="00020251" w:rsidRPr="00E45CD5" w:rsidRDefault="00020251" w:rsidP="00020251">
      <w:pPr>
        <w:tabs>
          <w:tab w:val="left" w:pos="-1440"/>
          <w:tab w:val="left" w:pos="-720"/>
        </w:tabs>
        <w:spacing w:line="240" w:lineRule="auto"/>
        <w:rPr>
          <w:rFonts w:ascii="Arial" w:hAnsi="Arial" w:cs="Arial"/>
          <w:b/>
          <w:kern w:val="1"/>
          <w:sz w:val="20"/>
          <w:szCs w:val="20"/>
          <w:u w:val="single"/>
          <w:lang w:val="nl-NL"/>
        </w:rPr>
      </w:pPr>
    </w:p>
    <w:p w14:paraId="644D1488"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r w:rsidRPr="00E45CD5">
        <w:rPr>
          <w:rFonts w:ascii="Arial" w:eastAsia="Calibri" w:hAnsi="Arial" w:cs="Arial"/>
          <w:sz w:val="20"/>
          <w:szCs w:val="20"/>
        </w:rPr>
        <w:t>Bij meisjes die terecht kwamen in een eerder mannelijk beschouwd studieveld merkten we echter op dat zij vooral aangemoedigd werden door hun vader. Het zou logisch zijn te verwachten dat jongens of meisjes die een atypische studierichting gekozen hadden, minder aangemoedigd zouden worden dan jongens of meisjes die een traditionele keuze maakten. Toch vinden we geen empirische gegrondheid voor deze hypothese. Deze jongens of meisjes worden evenveel aangemoedigd als anderen.</w:t>
      </w:r>
    </w:p>
    <w:p w14:paraId="7C198F80" w14:textId="77777777" w:rsidR="00020251" w:rsidRPr="00E45CD5" w:rsidRDefault="00020251" w:rsidP="00020251">
      <w:pPr>
        <w:tabs>
          <w:tab w:val="left" w:pos="-1440"/>
          <w:tab w:val="left" w:pos="-720"/>
        </w:tabs>
        <w:spacing w:line="240" w:lineRule="auto"/>
        <w:rPr>
          <w:rFonts w:ascii="Arial" w:hAnsi="Arial" w:cs="Arial"/>
          <w:kern w:val="1"/>
          <w:sz w:val="20"/>
          <w:szCs w:val="20"/>
          <w:lang w:val="nl-NL"/>
        </w:rPr>
      </w:pPr>
    </w:p>
    <w:p w14:paraId="7BA3297E"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Correcte manier van weergeven:</w:t>
      </w:r>
    </w:p>
    <w:p w14:paraId="3D7BBAB0" w14:textId="77777777" w:rsidR="00020251" w:rsidRPr="00E45CD5" w:rsidRDefault="00020251" w:rsidP="00020251">
      <w:pPr>
        <w:tabs>
          <w:tab w:val="left" w:pos="-1440"/>
          <w:tab w:val="left" w:pos="-720"/>
        </w:tabs>
        <w:spacing w:line="240" w:lineRule="auto"/>
        <w:rPr>
          <w:rFonts w:ascii="Arial" w:hAnsi="Arial" w:cs="Arial"/>
          <w:b/>
          <w:kern w:val="1"/>
          <w:sz w:val="20"/>
          <w:szCs w:val="20"/>
          <w:u w:val="single"/>
          <w:lang w:val="nl-NL"/>
        </w:rPr>
      </w:pPr>
    </w:p>
    <w:p w14:paraId="4EB5CBC7"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proofErr w:type="spellStart"/>
      <w:r w:rsidRPr="00E45CD5">
        <w:rPr>
          <w:rFonts w:ascii="Arial" w:eastAsia="Calibri" w:hAnsi="Arial" w:cs="Arial"/>
          <w:sz w:val="20"/>
          <w:szCs w:val="20"/>
        </w:rPr>
        <w:t>Mastekaasa</w:t>
      </w:r>
      <w:proofErr w:type="spellEnd"/>
      <w:r w:rsidRPr="00E45CD5">
        <w:rPr>
          <w:rFonts w:ascii="Arial" w:eastAsia="Calibri" w:hAnsi="Arial" w:cs="Arial"/>
          <w:sz w:val="20"/>
          <w:szCs w:val="20"/>
        </w:rPr>
        <w:t xml:space="preserve"> &amp; </w:t>
      </w:r>
      <w:proofErr w:type="spellStart"/>
      <w:r w:rsidRPr="00E45CD5">
        <w:rPr>
          <w:rFonts w:ascii="Arial" w:eastAsia="Calibri" w:hAnsi="Arial" w:cs="Arial"/>
          <w:sz w:val="20"/>
          <w:szCs w:val="20"/>
        </w:rPr>
        <w:t>Smeby</w:t>
      </w:r>
      <w:proofErr w:type="spellEnd"/>
      <w:r w:rsidRPr="00E45CD5">
        <w:rPr>
          <w:rFonts w:ascii="Arial" w:eastAsia="Calibri" w:hAnsi="Arial" w:cs="Arial"/>
          <w:sz w:val="20"/>
          <w:szCs w:val="20"/>
        </w:rPr>
        <w:t xml:space="preserve"> (2008) vonden dat meisjes die terecht kwamen in een eerder mannelijk beschouwd studieveld, vooral aangemoedigd werden door hun vader. De auteurs stelden dat het logisch zou zijn te verwachten dat jongens of meisjes die een atypische studierichting gekozen hadden, minder aangemoedigd zouden worden dan jongens of meisjes die een traditionele keuze maakten. Toch vonden ze geen empirische gegrondheid voor deze hypothese (</w:t>
      </w:r>
      <w:proofErr w:type="spellStart"/>
      <w:r w:rsidRPr="00E45CD5">
        <w:rPr>
          <w:rFonts w:ascii="Arial" w:eastAsia="Calibri" w:hAnsi="Arial" w:cs="Arial"/>
          <w:sz w:val="20"/>
          <w:szCs w:val="20"/>
        </w:rPr>
        <w:t>Mastekaasa</w:t>
      </w:r>
      <w:proofErr w:type="spellEnd"/>
      <w:r w:rsidRPr="00E45CD5">
        <w:rPr>
          <w:rFonts w:ascii="Arial" w:eastAsia="Calibri" w:hAnsi="Arial" w:cs="Arial"/>
          <w:sz w:val="20"/>
          <w:szCs w:val="20"/>
        </w:rPr>
        <w:t xml:space="preserve"> &amp; </w:t>
      </w:r>
      <w:proofErr w:type="spellStart"/>
      <w:r w:rsidRPr="00E45CD5">
        <w:rPr>
          <w:rFonts w:ascii="Arial" w:eastAsia="Calibri" w:hAnsi="Arial" w:cs="Arial"/>
          <w:sz w:val="20"/>
          <w:szCs w:val="20"/>
        </w:rPr>
        <w:t>Smeby</w:t>
      </w:r>
      <w:proofErr w:type="spellEnd"/>
      <w:r w:rsidRPr="00E45CD5">
        <w:rPr>
          <w:rFonts w:ascii="Arial" w:eastAsia="Calibri" w:hAnsi="Arial" w:cs="Arial"/>
          <w:sz w:val="20"/>
          <w:szCs w:val="20"/>
        </w:rPr>
        <w:t>, 2008): deze jongens en meisjes werden evenveel aangemoedigd als anderen.</w:t>
      </w:r>
    </w:p>
    <w:p w14:paraId="2F5762F7"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p>
    <w:p w14:paraId="467C771F" w14:textId="77777777" w:rsidR="00020251" w:rsidRPr="00E45CD5" w:rsidRDefault="00020251" w:rsidP="00020251">
      <w:pPr>
        <w:tabs>
          <w:tab w:val="left" w:pos="-1440"/>
          <w:tab w:val="left" w:pos="-720"/>
        </w:tabs>
        <w:spacing w:line="240" w:lineRule="auto"/>
        <w:contextualSpacing/>
        <w:rPr>
          <w:rFonts w:ascii="Arial" w:hAnsi="Arial" w:cs="Arial"/>
          <w:b/>
          <w:kern w:val="1"/>
          <w:sz w:val="20"/>
          <w:szCs w:val="20"/>
          <w:u w:val="single"/>
          <w:lang w:val="nl-NL"/>
        </w:rPr>
      </w:pPr>
      <w:r w:rsidRPr="00E45CD5">
        <w:rPr>
          <w:rFonts w:ascii="Arial" w:hAnsi="Arial" w:cs="Arial"/>
          <w:b/>
          <w:kern w:val="1"/>
          <w:sz w:val="20"/>
          <w:szCs w:val="20"/>
          <w:u w:val="single"/>
          <w:lang w:val="nl-NL"/>
        </w:rPr>
        <w:t>Opmerkingen</w:t>
      </w:r>
    </w:p>
    <w:p w14:paraId="2FF2AE7D" w14:textId="77777777" w:rsidR="00020251" w:rsidRPr="00E45CD5" w:rsidRDefault="00020251" w:rsidP="00020251">
      <w:pPr>
        <w:tabs>
          <w:tab w:val="left" w:pos="-1440"/>
          <w:tab w:val="left" w:pos="-720"/>
        </w:tabs>
        <w:spacing w:line="240" w:lineRule="auto"/>
        <w:ind w:left="708"/>
        <w:contextualSpacing/>
        <w:jc w:val="both"/>
        <w:rPr>
          <w:rFonts w:ascii="Arial" w:hAnsi="Arial" w:cs="Arial"/>
          <w:b/>
          <w:sz w:val="20"/>
          <w:szCs w:val="20"/>
          <w:lang w:val="nl-NL"/>
        </w:rPr>
      </w:pPr>
      <w:r w:rsidRPr="00E45CD5">
        <w:rPr>
          <w:rFonts w:ascii="Arial" w:hAnsi="Arial" w:cs="Arial"/>
          <w:b/>
          <w:kern w:val="1"/>
          <w:sz w:val="20"/>
          <w:szCs w:val="20"/>
          <w:lang w:val="nl-NL"/>
        </w:rPr>
        <w:t>1. Hoewel een éénmalige ‘vergetelheid’ van een niet-essentiële bronverwijzing niet als plagiaat te beschouwen is in de zin van art. 79 OER, zal het herhaaldelijk karakter van het ontbreken van correcte bronverwijzingen waardoor “</w:t>
      </w:r>
      <w:r w:rsidRPr="00E45CD5">
        <w:rPr>
          <w:rFonts w:ascii="Arial" w:hAnsi="Arial" w:cs="Arial"/>
          <w:b/>
          <w:sz w:val="20"/>
          <w:szCs w:val="20"/>
          <w:lang w:val="nl-NL"/>
        </w:rPr>
        <w:t>teksten, theorieën, redeneringen, stellingen, indelingen, schema’s, grafieken, data of onderzoeksresultaten als eigen werk worden voorgesteld” wel als plagiaat kunnen beschouwd worden.</w:t>
      </w:r>
    </w:p>
    <w:p w14:paraId="0C1CBD2B" w14:textId="77777777" w:rsidR="00020251" w:rsidRPr="00E45CD5" w:rsidRDefault="00020251" w:rsidP="00020251">
      <w:pPr>
        <w:tabs>
          <w:tab w:val="left" w:pos="-1440"/>
          <w:tab w:val="left" w:pos="-720"/>
        </w:tabs>
        <w:spacing w:line="240" w:lineRule="auto"/>
        <w:ind w:left="708"/>
        <w:contextualSpacing/>
        <w:jc w:val="both"/>
        <w:rPr>
          <w:rFonts w:ascii="Arial" w:hAnsi="Arial" w:cs="Arial"/>
          <w:b/>
          <w:sz w:val="20"/>
          <w:szCs w:val="20"/>
        </w:rPr>
      </w:pPr>
      <w:r w:rsidRPr="00E45CD5">
        <w:rPr>
          <w:rFonts w:ascii="Arial" w:hAnsi="Arial" w:cs="Arial"/>
          <w:b/>
          <w:sz w:val="20"/>
          <w:szCs w:val="20"/>
          <w:lang w:val="nl-NL"/>
        </w:rPr>
        <w:t>2. Verwar het Engelse</w:t>
      </w:r>
      <w:r w:rsidRPr="00E45CD5">
        <w:rPr>
          <w:rFonts w:ascii="Arial" w:hAnsi="Arial" w:cs="Arial"/>
          <w:b/>
          <w:sz w:val="20"/>
          <w:szCs w:val="20"/>
        </w:rPr>
        <w:t xml:space="preserve"> “</w:t>
      </w:r>
      <w:proofErr w:type="spellStart"/>
      <w:r w:rsidRPr="00E45CD5">
        <w:rPr>
          <w:rFonts w:ascii="Arial" w:hAnsi="Arial" w:cs="Arial"/>
          <w:b/>
          <w:sz w:val="20"/>
          <w:szCs w:val="20"/>
        </w:rPr>
        <w:t>to</w:t>
      </w:r>
      <w:proofErr w:type="spellEnd"/>
      <w:r w:rsidRPr="00E45CD5">
        <w:rPr>
          <w:rFonts w:ascii="Arial" w:hAnsi="Arial" w:cs="Arial"/>
          <w:b/>
          <w:sz w:val="20"/>
          <w:szCs w:val="20"/>
        </w:rPr>
        <w:t xml:space="preserve"> </w:t>
      </w:r>
      <w:proofErr w:type="spellStart"/>
      <w:r w:rsidRPr="00E45CD5">
        <w:rPr>
          <w:rFonts w:ascii="Arial" w:hAnsi="Arial" w:cs="Arial"/>
          <w:b/>
          <w:sz w:val="20"/>
          <w:szCs w:val="20"/>
        </w:rPr>
        <w:t>cite</w:t>
      </w:r>
      <w:proofErr w:type="spellEnd"/>
      <w:r w:rsidRPr="00E45CD5">
        <w:rPr>
          <w:rFonts w:ascii="Arial" w:hAnsi="Arial" w:cs="Arial"/>
          <w:b/>
          <w:sz w:val="20"/>
          <w:szCs w:val="20"/>
        </w:rPr>
        <w:t>” en “</w:t>
      </w:r>
      <w:proofErr w:type="spellStart"/>
      <w:r w:rsidRPr="00E45CD5">
        <w:rPr>
          <w:rFonts w:ascii="Arial" w:hAnsi="Arial" w:cs="Arial"/>
          <w:b/>
          <w:sz w:val="20"/>
          <w:szCs w:val="20"/>
        </w:rPr>
        <w:t>citation</w:t>
      </w:r>
      <w:proofErr w:type="spellEnd"/>
      <w:r w:rsidRPr="00E45CD5">
        <w:rPr>
          <w:rFonts w:ascii="Arial" w:hAnsi="Arial" w:cs="Arial"/>
          <w:b/>
          <w:sz w:val="20"/>
          <w:szCs w:val="20"/>
        </w:rPr>
        <w:t>” niet met het Nederlandse “citeren” en “citaat”! Engelstalige teksten gebruiken de termen “</w:t>
      </w:r>
      <w:proofErr w:type="spellStart"/>
      <w:r w:rsidRPr="00E45CD5">
        <w:rPr>
          <w:rFonts w:ascii="Arial" w:hAnsi="Arial" w:cs="Arial"/>
          <w:b/>
          <w:sz w:val="20"/>
          <w:szCs w:val="20"/>
        </w:rPr>
        <w:t>to</w:t>
      </w:r>
      <w:proofErr w:type="spellEnd"/>
      <w:r w:rsidRPr="00E45CD5">
        <w:rPr>
          <w:rFonts w:ascii="Arial" w:hAnsi="Arial" w:cs="Arial"/>
          <w:b/>
          <w:sz w:val="20"/>
          <w:szCs w:val="20"/>
        </w:rPr>
        <w:t xml:space="preserve"> quote” en “</w:t>
      </w:r>
      <w:proofErr w:type="spellStart"/>
      <w:r w:rsidRPr="00E45CD5">
        <w:rPr>
          <w:rFonts w:ascii="Arial" w:hAnsi="Arial" w:cs="Arial"/>
          <w:b/>
          <w:sz w:val="20"/>
          <w:szCs w:val="20"/>
        </w:rPr>
        <w:t>quotation</w:t>
      </w:r>
      <w:proofErr w:type="spellEnd"/>
      <w:r w:rsidRPr="00E45CD5">
        <w:rPr>
          <w:rFonts w:ascii="Arial" w:hAnsi="Arial" w:cs="Arial"/>
          <w:b/>
          <w:sz w:val="20"/>
          <w:szCs w:val="20"/>
        </w:rPr>
        <w:t>” voor “citeren” en “citaat”; “</w:t>
      </w:r>
      <w:proofErr w:type="spellStart"/>
      <w:r w:rsidRPr="00E45CD5">
        <w:rPr>
          <w:rFonts w:ascii="Arial" w:hAnsi="Arial" w:cs="Arial"/>
          <w:b/>
          <w:sz w:val="20"/>
          <w:szCs w:val="20"/>
        </w:rPr>
        <w:t>to</w:t>
      </w:r>
      <w:proofErr w:type="spellEnd"/>
      <w:r w:rsidRPr="00E45CD5">
        <w:rPr>
          <w:rFonts w:ascii="Arial" w:hAnsi="Arial" w:cs="Arial"/>
          <w:b/>
          <w:sz w:val="20"/>
          <w:szCs w:val="20"/>
        </w:rPr>
        <w:t xml:space="preserve"> </w:t>
      </w:r>
      <w:proofErr w:type="spellStart"/>
      <w:r w:rsidRPr="00E45CD5">
        <w:rPr>
          <w:rFonts w:ascii="Arial" w:hAnsi="Arial" w:cs="Arial"/>
          <w:b/>
          <w:sz w:val="20"/>
          <w:szCs w:val="20"/>
        </w:rPr>
        <w:t>cite</w:t>
      </w:r>
      <w:proofErr w:type="spellEnd"/>
      <w:r w:rsidRPr="00E45CD5">
        <w:rPr>
          <w:rFonts w:ascii="Arial" w:hAnsi="Arial" w:cs="Arial"/>
          <w:b/>
          <w:sz w:val="20"/>
          <w:szCs w:val="20"/>
        </w:rPr>
        <w:t>” betekent “naar  een bron verwijzen” en “</w:t>
      </w:r>
      <w:proofErr w:type="spellStart"/>
      <w:r w:rsidRPr="00E45CD5">
        <w:rPr>
          <w:rFonts w:ascii="Arial" w:hAnsi="Arial" w:cs="Arial"/>
          <w:b/>
          <w:sz w:val="20"/>
          <w:szCs w:val="20"/>
        </w:rPr>
        <w:t>citation</w:t>
      </w:r>
      <w:proofErr w:type="spellEnd"/>
      <w:r w:rsidRPr="00E45CD5">
        <w:rPr>
          <w:rFonts w:ascii="Arial" w:hAnsi="Arial" w:cs="Arial"/>
          <w:b/>
          <w:sz w:val="20"/>
          <w:szCs w:val="20"/>
        </w:rPr>
        <w:t>” betekent “bronverwijzing”.</w:t>
      </w:r>
    </w:p>
    <w:p w14:paraId="4591C03C" w14:textId="77777777" w:rsidR="00020251" w:rsidRPr="00E45CD5" w:rsidRDefault="00020251" w:rsidP="00020251">
      <w:pPr>
        <w:tabs>
          <w:tab w:val="left" w:pos="-1440"/>
          <w:tab w:val="left" w:pos="-720"/>
        </w:tabs>
        <w:spacing w:line="240" w:lineRule="auto"/>
        <w:rPr>
          <w:rFonts w:ascii="Arial" w:hAnsi="Arial" w:cs="Arial"/>
          <w:b/>
          <w:kern w:val="1"/>
          <w:sz w:val="20"/>
          <w:szCs w:val="20"/>
        </w:rPr>
      </w:pPr>
    </w:p>
    <w:p w14:paraId="03889EAF" w14:textId="77777777" w:rsidR="00020251" w:rsidRPr="00E45CD5" w:rsidRDefault="00020251" w:rsidP="00020251">
      <w:pPr>
        <w:tabs>
          <w:tab w:val="left" w:pos="-1440"/>
          <w:tab w:val="left" w:pos="-720"/>
        </w:tabs>
        <w:spacing w:line="240" w:lineRule="auto"/>
        <w:rPr>
          <w:rFonts w:ascii="Arial" w:hAnsi="Arial" w:cs="Arial"/>
          <w:b/>
          <w:sz w:val="32"/>
          <w:szCs w:val="32"/>
          <w:lang w:val="nl-NL"/>
        </w:rPr>
      </w:pPr>
      <w:r w:rsidRPr="00E45CD5">
        <w:rPr>
          <w:rFonts w:ascii="Arial" w:hAnsi="Arial" w:cs="Arial"/>
          <w:b/>
          <w:sz w:val="32"/>
          <w:szCs w:val="32"/>
          <w:lang w:val="nl-NL"/>
        </w:rPr>
        <w:t>Plagiaat met een internetbron</w:t>
      </w:r>
    </w:p>
    <w:p w14:paraId="2B3C4DBB" w14:textId="77777777" w:rsidR="00020251" w:rsidRPr="00E45CD5" w:rsidRDefault="00020251" w:rsidP="00020251">
      <w:pPr>
        <w:tabs>
          <w:tab w:val="left" w:pos="-1440"/>
          <w:tab w:val="left" w:pos="-720"/>
        </w:tabs>
        <w:spacing w:line="240" w:lineRule="auto"/>
        <w:rPr>
          <w:rFonts w:ascii="Arial" w:hAnsi="Arial" w:cs="Arial"/>
          <w:b/>
          <w:kern w:val="1"/>
          <w:sz w:val="28"/>
          <w:szCs w:val="28"/>
          <w:lang w:val="nl-NL"/>
        </w:rPr>
      </w:pPr>
    </w:p>
    <w:p w14:paraId="437ED494" w14:textId="77777777" w:rsidR="00020251" w:rsidRPr="00E45CD5" w:rsidRDefault="00020251" w:rsidP="00020251">
      <w:pPr>
        <w:tabs>
          <w:tab w:val="left" w:pos="-1440"/>
          <w:tab w:val="left" w:pos="-720"/>
        </w:tabs>
        <w:spacing w:line="240" w:lineRule="auto"/>
        <w:rPr>
          <w:rFonts w:ascii="Arial" w:hAnsi="Arial" w:cs="Arial"/>
          <w:b/>
          <w:kern w:val="1"/>
          <w:sz w:val="28"/>
          <w:szCs w:val="28"/>
          <w:lang w:val="nl-NL"/>
        </w:rPr>
      </w:pPr>
      <w:r w:rsidRPr="00E45CD5">
        <w:rPr>
          <w:rFonts w:ascii="Arial" w:hAnsi="Arial" w:cs="Arial"/>
          <w:b/>
          <w:kern w:val="1"/>
          <w:sz w:val="28"/>
          <w:szCs w:val="28"/>
          <w:lang w:val="nl-NL"/>
        </w:rPr>
        <w:t xml:space="preserve">1. OC </w:t>
      </w:r>
      <w:proofErr w:type="spellStart"/>
      <w:r w:rsidRPr="00E45CD5">
        <w:rPr>
          <w:rFonts w:ascii="Arial" w:hAnsi="Arial" w:cs="Arial"/>
          <w:b/>
          <w:kern w:val="1"/>
          <w:sz w:val="28"/>
          <w:szCs w:val="28"/>
          <w:lang w:val="nl-NL"/>
        </w:rPr>
        <w:t>PolWet</w:t>
      </w:r>
      <w:proofErr w:type="spellEnd"/>
    </w:p>
    <w:p w14:paraId="73ADFCD7" w14:textId="77777777" w:rsidR="00020251" w:rsidRPr="00E45CD5" w:rsidRDefault="00020251" w:rsidP="00020251">
      <w:pPr>
        <w:tabs>
          <w:tab w:val="left" w:pos="-1440"/>
          <w:tab w:val="left" w:pos="-720"/>
        </w:tabs>
        <w:spacing w:line="240" w:lineRule="auto"/>
        <w:rPr>
          <w:rFonts w:ascii="Arial" w:hAnsi="Arial" w:cs="Arial"/>
          <w:b/>
          <w:u w:val="single"/>
          <w:lang w:val="nl-NL"/>
        </w:rPr>
      </w:pPr>
    </w:p>
    <w:p w14:paraId="74C9C474"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rPr>
        <w:t xml:space="preserve">Op de website van </w:t>
      </w:r>
      <w:proofErr w:type="spellStart"/>
      <w:r w:rsidRPr="00E45CD5">
        <w:rPr>
          <w:rFonts w:ascii="Arial" w:hAnsi="Arial" w:cs="Arial"/>
          <w:sz w:val="20"/>
          <w:szCs w:val="20"/>
        </w:rPr>
        <w:t>Euractiv</w:t>
      </w:r>
      <w:proofErr w:type="spellEnd"/>
      <w:r w:rsidRPr="00E45CD5">
        <w:rPr>
          <w:rFonts w:ascii="Arial" w:hAnsi="Arial" w:cs="Arial"/>
          <w:sz w:val="20"/>
          <w:szCs w:val="20"/>
        </w:rPr>
        <w:t>, een  onafhankelijk ‘bedrijf’ dat informatie over de Europese Unie aanbiedt, verscheen volgend interview:</w:t>
      </w:r>
    </w:p>
    <w:p w14:paraId="7B829C2F" w14:textId="77777777" w:rsidR="00020251" w:rsidRPr="00E45CD5" w:rsidRDefault="00020251" w:rsidP="00020251">
      <w:pPr>
        <w:pStyle w:val="NormalWeb"/>
        <w:pBdr>
          <w:top w:val="single" w:sz="4" w:space="1" w:color="auto"/>
          <w:left w:val="single" w:sz="4" w:space="4" w:color="auto"/>
          <w:bottom w:val="single" w:sz="4" w:space="1" w:color="auto"/>
          <w:right w:val="single" w:sz="4" w:space="4" w:color="auto"/>
        </w:pBdr>
        <w:rPr>
          <w:rFonts w:ascii="Arial" w:hAnsi="Arial" w:cs="Arial"/>
          <w:sz w:val="20"/>
          <w:szCs w:val="20"/>
          <w:lang w:val="en-US"/>
        </w:rPr>
      </w:pPr>
      <w:r w:rsidRPr="00E45CD5">
        <w:rPr>
          <w:rFonts w:ascii="Arial" w:hAnsi="Arial" w:cs="Arial"/>
          <w:sz w:val="20"/>
          <w:szCs w:val="20"/>
          <w:lang w:val="en-US"/>
        </w:rPr>
        <w:t xml:space="preserve">The "institutional limbo" surrounding the Lisbon Treaty may lead to "new </w:t>
      </w:r>
      <w:proofErr w:type="spellStart"/>
      <w:r w:rsidRPr="00E45CD5">
        <w:rPr>
          <w:rFonts w:ascii="Arial" w:hAnsi="Arial" w:cs="Arial"/>
          <w:sz w:val="20"/>
          <w:szCs w:val="20"/>
          <w:lang w:val="en-US"/>
        </w:rPr>
        <w:t>euroscepticism</w:t>
      </w:r>
      <w:proofErr w:type="spellEnd"/>
      <w:r w:rsidRPr="00E45CD5">
        <w:rPr>
          <w:rFonts w:ascii="Arial" w:hAnsi="Arial" w:cs="Arial"/>
          <w:sz w:val="20"/>
          <w:szCs w:val="20"/>
          <w:lang w:val="en-US"/>
        </w:rPr>
        <w:t xml:space="preserve"> across Europe" during next year's European elections, according to Swedish EU Affairs Minister Cecilia Malmström.</w:t>
      </w:r>
    </w:p>
    <w:p w14:paraId="5CAEB5A0" w14:textId="77777777" w:rsidR="00020251" w:rsidRPr="00E45CD5" w:rsidRDefault="00020251" w:rsidP="00020251">
      <w:pPr>
        <w:pStyle w:val="NormalWeb"/>
        <w:pBdr>
          <w:top w:val="single" w:sz="4" w:space="1" w:color="auto"/>
          <w:left w:val="single" w:sz="4" w:space="4" w:color="auto"/>
          <w:bottom w:val="single" w:sz="4" w:space="1" w:color="auto"/>
          <w:right w:val="single" w:sz="4" w:space="4" w:color="auto"/>
        </w:pBdr>
        <w:rPr>
          <w:rFonts w:ascii="Arial" w:hAnsi="Arial" w:cs="Arial"/>
          <w:sz w:val="20"/>
          <w:szCs w:val="20"/>
          <w:lang w:val="en-US"/>
        </w:rPr>
      </w:pPr>
      <w:r w:rsidRPr="00E45CD5">
        <w:rPr>
          <w:rFonts w:ascii="Arial" w:hAnsi="Arial" w:cs="Arial"/>
          <w:sz w:val="20"/>
          <w:szCs w:val="20"/>
          <w:lang w:val="en-US"/>
        </w:rPr>
        <w:t>Sweden assumes the rotating EU presidency from the Czech Republic next July, and will be expected to deal with the aftermath of the elections and to smooth Ireland's path towards solving its Lisbon Treaty dilemma. </w:t>
      </w:r>
    </w:p>
    <w:p w14:paraId="357AB363" w14:textId="77777777" w:rsidR="00020251" w:rsidRPr="00E45CD5" w:rsidRDefault="00020251" w:rsidP="00020251">
      <w:pPr>
        <w:pStyle w:val="NormalWeb"/>
        <w:pBdr>
          <w:top w:val="single" w:sz="4" w:space="1" w:color="auto"/>
          <w:left w:val="single" w:sz="4" w:space="4" w:color="auto"/>
          <w:bottom w:val="single" w:sz="4" w:space="1" w:color="auto"/>
          <w:right w:val="single" w:sz="4" w:space="4" w:color="auto"/>
        </w:pBdr>
        <w:rPr>
          <w:rFonts w:ascii="Arial" w:hAnsi="Arial" w:cs="Arial"/>
          <w:sz w:val="20"/>
          <w:szCs w:val="20"/>
          <w:lang w:val="en-US"/>
        </w:rPr>
      </w:pPr>
      <w:r w:rsidRPr="00E45CD5">
        <w:rPr>
          <w:rFonts w:ascii="Arial" w:hAnsi="Arial" w:cs="Arial"/>
          <w:sz w:val="20"/>
          <w:szCs w:val="20"/>
          <w:lang w:val="en-US"/>
        </w:rPr>
        <w:t xml:space="preserve">Speaking to </w:t>
      </w:r>
      <w:proofErr w:type="spellStart"/>
      <w:r w:rsidRPr="00E45CD5">
        <w:rPr>
          <w:rFonts w:ascii="Arial" w:hAnsi="Arial" w:cs="Arial"/>
          <w:sz w:val="20"/>
          <w:szCs w:val="20"/>
          <w:lang w:val="en-US"/>
        </w:rPr>
        <w:t>EurActiv</w:t>
      </w:r>
      <w:proofErr w:type="spellEnd"/>
      <w:r w:rsidRPr="00E45CD5">
        <w:rPr>
          <w:rFonts w:ascii="Arial" w:hAnsi="Arial" w:cs="Arial"/>
          <w:sz w:val="20"/>
          <w:szCs w:val="20"/>
          <w:lang w:val="en-US"/>
        </w:rPr>
        <w:t xml:space="preserve"> in an interview, Malmström said it would be a "pity if we can't run the elections under the new treaty [Lisbon], first of all because Sweden loses two seats under the Nice Treaty, but most importantly because those running for the European Parliament should know the circumstances under which they are to operate. As it stands, they will run in a sort of institutional limbo, which is unfair on them". </w:t>
      </w:r>
    </w:p>
    <w:p w14:paraId="3F40A4E5" w14:textId="77777777" w:rsidR="00020251" w:rsidRPr="00E45CD5" w:rsidRDefault="00020251" w:rsidP="00020251">
      <w:pPr>
        <w:pStyle w:val="NormalWeb"/>
        <w:pBdr>
          <w:top w:val="single" w:sz="4" w:space="1" w:color="auto"/>
          <w:left w:val="single" w:sz="4" w:space="4" w:color="auto"/>
          <w:bottom w:val="single" w:sz="4" w:space="1" w:color="auto"/>
          <w:right w:val="single" w:sz="4" w:space="4" w:color="auto"/>
        </w:pBdr>
        <w:rPr>
          <w:rFonts w:ascii="Arial" w:hAnsi="Arial" w:cs="Arial"/>
          <w:sz w:val="20"/>
          <w:szCs w:val="20"/>
          <w:lang w:val="en-US"/>
        </w:rPr>
      </w:pPr>
      <w:r w:rsidRPr="00E45CD5">
        <w:rPr>
          <w:rFonts w:ascii="Arial" w:hAnsi="Arial" w:cs="Arial"/>
          <w:sz w:val="20"/>
          <w:szCs w:val="20"/>
          <w:lang w:val="en-US"/>
        </w:rPr>
        <w:t>The former MEP said Sweden is prepared for this limbo, and will make contingency plans for a potential shift to the Lisbon Treaty if, as appears likely, Ireland holds a second referendum in the autumn of 2009. "We have planned for having our presidency under the Nice Treaty, but also for a potential change to Lisbon mid-way – we have planned for both scenarios," she explained.</w:t>
      </w:r>
    </w:p>
    <w:p w14:paraId="2E02CD6B" w14:textId="77777777" w:rsidR="00020251" w:rsidRPr="00E45CD5" w:rsidRDefault="00020251" w:rsidP="00020251">
      <w:pPr>
        <w:pStyle w:val="NormalWeb"/>
        <w:pBdr>
          <w:top w:val="single" w:sz="4" w:space="1" w:color="auto"/>
          <w:left w:val="single" w:sz="4" w:space="4" w:color="auto"/>
          <w:bottom w:val="single" w:sz="4" w:space="1" w:color="auto"/>
          <w:right w:val="single" w:sz="4" w:space="4" w:color="auto"/>
        </w:pBdr>
        <w:rPr>
          <w:rFonts w:ascii="Arial" w:hAnsi="Arial" w:cs="Arial"/>
          <w:sz w:val="20"/>
          <w:szCs w:val="20"/>
          <w:lang w:val="en-US"/>
        </w:rPr>
      </w:pPr>
      <w:r w:rsidRPr="00E45CD5">
        <w:rPr>
          <w:rFonts w:ascii="Arial" w:hAnsi="Arial" w:cs="Arial"/>
          <w:sz w:val="20"/>
          <w:szCs w:val="20"/>
          <w:lang w:val="en-US"/>
        </w:rPr>
        <w:t xml:space="preserve">While praising the current French Presidency for its success and experience in dealing with the global financial meltdown and Georgia conflict, Malmström dismissed suggestions that a small country like Sweden might struggle to cope with similar unforeseen crises. Using the Finnish Presidency's handling of the Lebanon crisis as a template, she argues that Sweden will prepare "for the unprepared" and establish "a crisis </w:t>
      </w:r>
      <w:proofErr w:type="spellStart"/>
      <w:r w:rsidRPr="00E45CD5">
        <w:rPr>
          <w:rFonts w:ascii="Arial" w:hAnsi="Arial" w:cs="Arial"/>
          <w:sz w:val="20"/>
          <w:szCs w:val="20"/>
          <w:lang w:val="en-US"/>
        </w:rPr>
        <w:t>organisation</w:t>
      </w:r>
      <w:proofErr w:type="spellEnd"/>
      <w:r w:rsidRPr="00E45CD5">
        <w:rPr>
          <w:rFonts w:ascii="Arial" w:hAnsi="Arial" w:cs="Arial"/>
          <w:sz w:val="20"/>
          <w:szCs w:val="20"/>
          <w:lang w:val="en-US"/>
        </w:rPr>
        <w:t xml:space="preserve"> that can be quickly activated". </w:t>
      </w:r>
    </w:p>
    <w:p w14:paraId="3C8F4EC0" w14:textId="77777777" w:rsidR="00020251" w:rsidRPr="00E45CD5" w:rsidRDefault="00020251" w:rsidP="00020251">
      <w:pPr>
        <w:pStyle w:val="NormalWeb"/>
        <w:pBdr>
          <w:top w:val="single" w:sz="4" w:space="1" w:color="auto"/>
          <w:left w:val="single" w:sz="4" w:space="4" w:color="auto"/>
          <w:bottom w:val="single" w:sz="4" w:space="1" w:color="auto"/>
          <w:right w:val="single" w:sz="4" w:space="4" w:color="auto"/>
        </w:pBdr>
        <w:rPr>
          <w:rFonts w:ascii="Arial" w:hAnsi="Arial" w:cs="Arial"/>
          <w:sz w:val="20"/>
          <w:szCs w:val="20"/>
          <w:lang w:val="en-US"/>
        </w:rPr>
      </w:pPr>
      <w:r w:rsidRPr="00E45CD5">
        <w:rPr>
          <w:rFonts w:ascii="Arial" w:hAnsi="Arial" w:cs="Arial"/>
          <w:sz w:val="20"/>
          <w:szCs w:val="20"/>
          <w:lang w:val="en-US"/>
        </w:rPr>
        <w:t>[...] </w:t>
      </w:r>
    </w:p>
    <w:p w14:paraId="60CCDD29" w14:textId="77777777" w:rsidR="00020251" w:rsidRDefault="00020251" w:rsidP="00020251">
      <w:pPr>
        <w:spacing w:line="240" w:lineRule="auto"/>
        <w:rPr>
          <w:rFonts w:ascii="Arial" w:hAnsi="Arial" w:cs="Arial"/>
          <w:sz w:val="20"/>
          <w:szCs w:val="20"/>
          <w:lang w:val="en-US"/>
        </w:rPr>
      </w:pPr>
      <w:r w:rsidRPr="00E45CD5">
        <w:rPr>
          <w:rFonts w:ascii="Arial" w:hAnsi="Arial" w:cs="Arial"/>
          <w:sz w:val="20"/>
          <w:szCs w:val="20"/>
          <w:lang w:val="en-US"/>
        </w:rPr>
        <w:t>(</w:t>
      </w:r>
      <w:hyperlink r:id="rId8" w:history="1">
        <w:r w:rsidRPr="006A00F5">
          <w:rPr>
            <w:rStyle w:val="Hyperlink"/>
            <w:rFonts w:ascii="Arial" w:hAnsi="Arial" w:cs="Arial"/>
            <w:sz w:val="20"/>
            <w:szCs w:val="20"/>
            <w:lang w:val="en-US"/>
          </w:rPr>
          <w:t>http://www.euractiv.com/en/eu-elections/interview-institutional-limbo-overshadow-2009-elections/article-177289</w:t>
        </w:r>
      </w:hyperlink>
      <w:r w:rsidRPr="00E45CD5">
        <w:rPr>
          <w:rFonts w:ascii="Arial" w:hAnsi="Arial" w:cs="Arial"/>
          <w:sz w:val="20"/>
          <w:szCs w:val="20"/>
          <w:lang w:val="en-US"/>
        </w:rPr>
        <w:t>)</w:t>
      </w:r>
    </w:p>
    <w:p w14:paraId="2E4D5DB0" w14:textId="77777777" w:rsidR="00020251" w:rsidRPr="00E45CD5" w:rsidRDefault="00020251" w:rsidP="00020251">
      <w:pPr>
        <w:spacing w:line="240" w:lineRule="auto"/>
        <w:rPr>
          <w:rFonts w:ascii="Arial" w:hAnsi="Arial" w:cs="Arial"/>
          <w:sz w:val="20"/>
          <w:szCs w:val="20"/>
          <w:lang w:val="en-US"/>
        </w:rPr>
      </w:pPr>
    </w:p>
    <w:p w14:paraId="69100313" w14:textId="77777777" w:rsidR="00020251" w:rsidRPr="00E45CD5" w:rsidRDefault="00020251" w:rsidP="00020251">
      <w:pPr>
        <w:spacing w:line="240" w:lineRule="auto"/>
        <w:rPr>
          <w:rFonts w:ascii="Arial" w:hAnsi="Arial" w:cs="Arial"/>
          <w:b/>
          <w:sz w:val="20"/>
          <w:szCs w:val="20"/>
        </w:rPr>
      </w:pPr>
      <w:r w:rsidRPr="00E45CD5">
        <w:rPr>
          <w:rFonts w:ascii="Arial" w:hAnsi="Arial" w:cs="Arial"/>
          <w:b/>
          <w:sz w:val="20"/>
          <w:szCs w:val="20"/>
        </w:rPr>
        <w:t>Voorbeeld 1 plagiaat:</w:t>
      </w:r>
    </w:p>
    <w:p w14:paraId="2652DD73"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rPr>
        <w:t>“De institutionele impasse rond het Lissabonverdrag leidt tot meer euroscepticisme in Europa. Het is dan ook jammer dat de volgende Europese verkiezingen niet onder de regels van het Verdrag van Lissabon zullen plaatsvinden. Het is bovendien niet fair ten opzichte van de kandidaten die eigenlijk niet weten onder welke regels zij in de toekomst, in het Europees Parlement, zullen moeten werken.”</w:t>
      </w:r>
    </w:p>
    <w:p w14:paraId="54064DAF"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rPr>
        <w:t>Of: “Kleine landen kunnen net zo goed met onvoorziene crisissen omgaan als grote landen.”</w:t>
      </w:r>
    </w:p>
    <w:p w14:paraId="10DF024D"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u w:val="single"/>
        </w:rPr>
        <w:t>Probleem</w:t>
      </w:r>
      <w:r w:rsidRPr="00E45CD5">
        <w:rPr>
          <w:rFonts w:ascii="Arial" w:hAnsi="Arial" w:cs="Arial"/>
          <w:sz w:val="20"/>
          <w:szCs w:val="20"/>
        </w:rPr>
        <w:t>: je haalt een ‘mening’ aan, van een Zweeds minister, zonder te zeggen dat het om een ‘standpunt’ gaat. Er zijn ongetwijfeld ook groepen die blij zijn met de institutionele impasse rond het Lissabon-verdrag, of die van oordeel zijn dat kleine landen niet zo goed kunnen inspelen op crisissituaties dan grote landen. Dit is dus geen feitelijke informatie meer. Je moet duidelijk aangeven dat het standpunt afkomstig is van deze Zweedse minister.</w:t>
      </w:r>
    </w:p>
    <w:p w14:paraId="566801A3" w14:textId="77777777" w:rsidR="00020251" w:rsidRPr="00E45CD5" w:rsidRDefault="00020251" w:rsidP="00020251">
      <w:pPr>
        <w:spacing w:line="240" w:lineRule="auto"/>
        <w:rPr>
          <w:rFonts w:ascii="Arial" w:hAnsi="Arial" w:cs="Arial"/>
          <w:sz w:val="20"/>
          <w:szCs w:val="20"/>
        </w:rPr>
      </w:pPr>
    </w:p>
    <w:p w14:paraId="6F13B6DC" w14:textId="77777777" w:rsidR="00020251" w:rsidRPr="00E45CD5" w:rsidRDefault="00020251" w:rsidP="00020251">
      <w:pPr>
        <w:spacing w:line="240" w:lineRule="auto"/>
        <w:rPr>
          <w:rFonts w:ascii="Arial" w:hAnsi="Arial" w:cs="Arial"/>
          <w:b/>
          <w:sz w:val="20"/>
          <w:szCs w:val="20"/>
        </w:rPr>
      </w:pPr>
      <w:r w:rsidRPr="00E45CD5">
        <w:rPr>
          <w:rFonts w:ascii="Arial" w:hAnsi="Arial" w:cs="Arial"/>
          <w:b/>
          <w:sz w:val="20"/>
          <w:szCs w:val="20"/>
        </w:rPr>
        <w:t>Voorbeeld 2 plagiaat</w:t>
      </w:r>
    </w:p>
    <w:p w14:paraId="625AFE4C"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rPr>
        <w:t xml:space="preserve">“De institutionele impasse rond het Lissabonverdrag leidt volgens de Zweedse minister van Europese Zaken Cecilia </w:t>
      </w:r>
      <w:proofErr w:type="spellStart"/>
      <w:r w:rsidRPr="00E45CD5">
        <w:rPr>
          <w:rFonts w:ascii="Arial" w:hAnsi="Arial" w:cs="Arial"/>
          <w:sz w:val="20"/>
          <w:szCs w:val="20"/>
        </w:rPr>
        <w:t>Malmström</w:t>
      </w:r>
      <w:proofErr w:type="spellEnd"/>
      <w:r w:rsidRPr="00E45CD5">
        <w:rPr>
          <w:rFonts w:ascii="Arial" w:hAnsi="Arial" w:cs="Arial"/>
          <w:sz w:val="20"/>
          <w:szCs w:val="20"/>
        </w:rPr>
        <w:t xml:space="preserve"> tot meer euroscepticisme in Europa. Als voormalig Europees parlementslid vindt ze het dan ook jammer dat de volgende Europese verkiezingen niet onder de regels van het Verdrag van Lissabon zullen plaatsvinden. Ze vindt het bovendien niet fair ten opzichte van de kandidaten die eigenlijk niet weten onder welke regels zij in de toekomst, in het Europees Parlement, zullen moeten werken.”</w:t>
      </w:r>
    </w:p>
    <w:p w14:paraId="57DA847F"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rPr>
        <w:t xml:space="preserve">Of: “Kleine landen kunnen volgens de Zweedse minister van Europese Zaken Cecilia </w:t>
      </w:r>
      <w:proofErr w:type="spellStart"/>
      <w:r w:rsidRPr="00E45CD5">
        <w:rPr>
          <w:rFonts w:ascii="Arial" w:hAnsi="Arial" w:cs="Arial"/>
          <w:sz w:val="20"/>
          <w:szCs w:val="20"/>
        </w:rPr>
        <w:t>Malmström</w:t>
      </w:r>
      <w:proofErr w:type="spellEnd"/>
      <w:r w:rsidRPr="00E45CD5">
        <w:rPr>
          <w:rFonts w:ascii="Arial" w:hAnsi="Arial" w:cs="Arial"/>
          <w:sz w:val="20"/>
          <w:szCs w:val="20"/>
        </w:rPr>
        <w:t xml:space="preserve"> net zo goed met onvoorziene crisissen omgaan als grote landen.”</w:t>
      </w:r>
    </w:p>
    <w:p w14:paraId="7519E2A3"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u w:val="single"/>
        </w:rPr>
        <w:lastRenderedPageBreak/>
        <w:t>Probleem</w:t>
      </w:r>
      <w:r w:rsidRPr="00E45CD5">
        <w:rPr>
          <w:rFonts w:ascii="Arial" w:hAnsi="Arial" w:cs="Arial"/>
          <w:sz w:val="20"/>
          <w:szCs w:val="20"/>
        </w:rPr>
        <w:t>: Hier vermeld je wel dat het om een standpunt van een Zweeds minister gaat, maar je zegt niet waar je deze informatie gehaald hebt. Heb je deze minister zelf geïnterviewd? Heb je het interview gelezen op de website van die minister? Of las je het interview op een EU-propaganda-site? Of op een site die tracht op een objectieve manier informatie te leveren? Dit is belangrijk om te weten, omdat het de informatie in de juiste context zet.</w:t>
      </w:r>
    </w:p>
    <w:p w14:paraId="7D1873A2" w14:textId="77777777" w:rsidR="00020251" w:rsidRPr="00E45CD5" w:rsidRDefault="00020251" w:rsidP="00020251">
      <w:pPr>
        <w:spacing w:line="240" w:lineRule="auto"/>
        <w:rPr>
          <w:rFonts w:ascii="Arial" w:hAnsi="Arial" w:cs="Arial"/>
          <w:sz w:val="20"/>
          <w:szCs w:val="20"/>
        </w:rPr>
      </w:pPr>
    </w:p>
    <w:p w14:paraId="2E1907C3" w14:textId="77777777" w:rsidR="00020251" w:rsidRPr="00E45CD5" w:rsidRDefault="00020251" w:rsidP="00020251">
      <w:pPr>
        <w:spacing w:line="240" w:lineRule="auto"/>
        <w:rPr>
          <w:rFonts w:ascii="Arial" w:hAnsi="Arial" w:cs="Arial"/>
          <w:b/>
          <w:sz w:val="20"/>
          <w:szCs w:val="20"/>
        </w:rPr>
      </w:pPr>
      <w:r w:rsidRPr="00E45CD5">
        <w:rPr>
          <w:rFonts w:ascii="Arial" w:hAnsi="Arial" w:cs="Arial"/>
          <w:b/>
          <w:sz w:val="20"/>
          <w:szCs w:val="20"/>
        </w:rPr>
        <w:t>Voorbeeld correcte verwijzing</w:t>
      </w:r>
    </w:p>
    <w:p w14:paraId="114B8BB3"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rPr>
        <w:t xml:space="preserve">“In een interview met de nieuwssite </w:t>
      </w:r>
      <w:proofErr w:type="spellStart"/>
      <w:r w:rsidRPr="00E45CD5">
        <w:rPr>
          <w:rFonts w:ascii="Arial" w:hAnsi="Arial" w:cs="Arial"/>
          <w:sz w:val="20"/>
          <w:szCs w:val="20"/>
        </w:rPr>
        <w:t>Euractiv</w:t>
      </w:r>
      <w:proofErr w:type="spellEnd"/>
      <w:r w:rsidRPr="00E45CD5">
        <w:rPr>
          <w:rFonts w:ascii="Arial" w:hAnsi="Arial" w:cs="Arial"/>
          <w:sz w:val="20"/>
          <w:szCs w:val="20"/>
        </w:rPr>
        <w:t xml:space="preserve"> zegt de Zweedse minister van Europese Zaken Cecilia </w:t>
      </w:r>
      <w:proofErr w:type="spellStart"/>
      <w:r w:rsidRPr="00E45CD5">
        <w:rPr>
          <w:rFonts w:ascii="Arial" w:hAnsi="Arial" w:cs="Arial"/>
          <w:sz w:val="20"/>
          <w:szCs w:val="20"/>
        </w:rPr>
        <w:t>Malmström</w:t>
      </w:r>
      <w:proofErr w:type="spellEnd"/>
      <w:r w:rsidRPr="00E45CD5">
        <w:rPr>
          <w:rFonts w:ascii="Arial" w:hAnsi="Arial" w:cs="Arial"/>
          <w:sz w:val="20"/>
          <w:szCs w:val="20"/>
        </w:rPr>
        <w:t xml:space="preserve"> dat de institutionele impasse rond het Lissabonverdrag tot meer euroscepticisme in Europa leidt. Als voormalig Europees parlementslid vindt ze het dan ook jammer dat de volgende Europese verkiezingen niet onder de regels van het Verdrag van Lissabon zullen plaatsvinden. In hetzelfde gesprek met </w:t>
      </w:r>
      <w:proofErr w:type="spellStart"/>
      <w:r w:rsidRPr="00E45CD5">
        <w:rPr>
          <w:rFonts w:ascii="Arial" w:hAnsi="Arial" w:cs="Arial"/>
          <w:sz w:val="20"/>
          <w:szCs w:val="20"/>
        </w:rPr>
        <w:t>Euractiv</w:t>
      </w:r>
      <w:proofErr w:type="spellEnd"/>
      <w:r w:rsidRPr="00E45CD5">
        <w:rPr>
          <w:rFonts w:ascii="Arial" w:hAnsi="Arial" w:cs="Arial"/>
          <w:sz w:val="20"/>
          <w:szCs w:val="20"/>
        </w:rPr>
        <w:t xml:space="preserve"> zegt ze ook dat ze dit niet fair vindt ten opzichte van de kandidaten die eigenlijk niet weten onder welke regels zij in de toekomst, in het Europees Parlement, zullen moeten werken.” (</w:t>
      </w:r>
      <w:hyperlink r:id="rId9" w:history="1">
        <w:r w:rsidRPr="00E45CD5">
          <w:rPr>
            <w:rStyle w:val="Hyperlink"/>
            <w:rFonts w:ascii="Arial" w:hAnsi="Arial" w:cs="Arial"/>
            <w:sz w:val="20"/>
            <w:szCs w:val="20"/>
          </w:rPr>
          <w:t>http://www.euractiv.com/en/eu-elections/interview-institutional-limbo-overshadow-2009-elections/article-177289</w:t>
        </w:r>
      </w:hyperlink>
      <w:r w:rsidRPr="00E45CD5">
        <w:rPr>
          <w:rFonts w:ascii="Arial" w:hAnsi="Arial" w:cs="Arial"/>
          <w:sz w:val="20"/>
          <w:szCs w:val="20"/>
        </w:rPr>
        <w:t>, geconsulteerd op 21 november 2008)</w:t>
      </w:r>
    </w:p>
    <w:p w14:paraId="1A3B0CEC"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rPr>
        <w:t xml:space="preserve">Of: “Kleine landen kunnen volgens de Zweedse minister van Europese Zaken Cecilia </w:t>
      </w:r>
      <w:proofErr w:type="spellStart"/>
      <w:r w:rsidRPr="00E45CD5">
        <w:rPr>
          <w:rFonts w:ascii="Arial" w:hAnsi="Arial" w:cs="Arial"/>
          <w:sz w:val="20"/>
          <w:szCs w:val="20"/>
        </w:rPr>
        <w:t>Malmström</w:t>
      </w:r>
      <w:proofErr w:type="spellEnd"/>
      <w:r w:rsidRPr="00E45CD5">
        <w:rPr>
          <w:rFonts w:ascii="Arial" w:hAnsi="Arial" w:cs="Arial"/>
          <w:sz w:val="20"/>
          <w:szCs w:val="20"/>
        </w:rPr>
        <w:t xml:space="preserve"> net zo goed met onvoorziene crisissen omgaan als grote landen. Dat merkte ze op tijdens een interview met de nieuwssite </w:t>
      </w:r>
      <w:proofErr w:type="spellStart"/>
      <w:r w:rsidRPr="00E45CD5">
        <w:rPr>
          <w:rFonts w:ascii="Arial" w:hAnsi="Arial" w:cs="Arial"/>
          <w:sz w:val="20"/>
          <w:szCs w:val="20"/>
        </w:rPr>
        <w:t>Euractiv</w:t>
      </w:r>
      <w:proofErr w:type="spellEnd"/>
      <w:r w:rsidRPr="00E45CD5">
        <w:rPr>
          <w:rFonts w:ascii="Arial" w:hAnsi="Arial" w:cs="Arial"/>
          <w:sz w:val="20"/>
          <w:szCs w:val="20"/>
        </w:rPr>
        <w:t>, naar aanleiding van het Zweedse EU-voorzitterschap van 2009. Een land als Frankrijk heeft goed ingespeeld op de Georgiëcrisis, maar dat betekent volgens haar niet dat kleine landen deze taak niet zouden aankunnen.” (</w:t>
      </w:r>
      <w:hyperlink r:id="rId10" w:history="1">
        <w:r w:rsidRPr="00E45CD5">
          <w:rPr>
            <w:rStyle w:val="Hyperlink"/>
            <w:rFonts w:ascii="Arial" w:hAnsi="Arial" w:cs="Arial"/>
            <w:sz w:val="20"/>
            <w:szCs w:val="20"/>
          </w:rPr>
          <w:t>http://www.euractiv.com/en/eu-elections/interview-institutional-limbo-overshadow-2009-elections/article-177289</w:t>
        </w:r>
      </w:hyperlink>
      <w:r w:rsidRPr="00E45CD5">
        <w:rPr>
          <w:rFonts w:ascii="Arial" w:hAnsi="Arial" w:cs="Arial"/>
          <w:sz w:val="20"/>
          <w:szCs w:val="20"/>
        </w:rPr>
        <w:t>, geconsulteerd op 21 november 2008)</w:t>
      </w:r>
    </w:p>
    <w:p w14:paraId="666B8ABB" w14:textId="77777777" w:rsidR="00020251" w:rsidRPr="00E45CD5" w:rsidRDefault="00020251" w:rsidP="00020251">
      <w:pPr>
        <w:spacing w:line="240" w:lineRule="auto"/>
        <w:rPr>
          <w:rFonts w:ascii="Arial" w:hAnsi="Arial" w:cs="Arial"/>
          <w:sz w:val="20"/>
          <w:szCs w:val="20"/>
        </w:rPr>
      </w:pPr>
    </w:p>
    <w:p w14:paraId="46B60F56" w14:textId="77777777" w:rsidR="00020251" w:rsidRPr="00E45CD5" w:rsidRDefault="00020251" w:rsidP="00020251">
      <w:pPr>
        <w:spacing w:line="240" w:lineRule="auto"/>
        <w:rPr>
          <w:rFonts w:ascii="Arial" w:hAnsi="Arial" w:cs="Arial"/>
          <w:b/>
          <w:sz w:val="20"/>
          <w:szCs w:val="20"/>
        </w:rPr>
      </w:pPr>
      <w:r w:rsidRPr="00E45CD5">
        <w:rPr>
          <w:rFonts w:ascii="Arial" w:hAnsi="Arial" w:cs="Arial"/>
          <w:b/>
          <w:sz w:val="20"/>
          <w:szCs w:val="20"/>
        </w:rPr>
        <w:t>Opmerkingen</w:t>
      </w:r>
    </w:p>
    <w:p w14:paraId="51772331" w14:textId="77777777" w:rsidR="00020251" w:rsidRPr="00E45CD5" w:rsidRDefault="00020251" w:rsidP="00020251">
      <w:pPr>
        <w:pStyle w:val="ListParagraph"/>
        <w:numPr>
          <w:ilvl w:val="0"/>
          <w:numId w:val="1"/>
        </w:numPr>
        <w:spacing w:after="200"/>
        <w:contextualSpacing/>
        <w:rPr>
          <w:rFonts w:ascii="Arial" w:hAnsi="Arial" w:cs="Arial"/>
          <w:sz w:val="20"/>
          <w:szCs w:val="20"/>
        </w:rPr>
      </w:pPr>
      <w:r w:rsidRPr="00E45CD5">
        <w:rPr>
          <w:rFonts w:ascii="Arial" w:hAnsi="Arial" w:cs="Arial"/>
          <w:sz w:val="20"/>
          <w:szCs w:val="20"/>
        </w:rPr>
        <w:t xml:space="preserve">Er is niets mis met het vinden van informatie op internet. Voor primaire bronnen is het internet dikwijls de enige bron die bruikbaar is (bijv. als je een analyse doet van Country </w:t>
      </w:r>
      <w:proofErr w:type="spellStart"/>
      <w:r w:rsidRPr="00E45CD5">
        <w:rPr>
          <w:rFonts w:ascii="Arial" w:hAnsi="Arial" w:cs="Arial"/>
          <w:sz w:val="20"/>
          <w:szCs w:val="20"/>
        </w:rPr>
        <w:t>Strategy</w:t>
      </w:r>
      <w:proofErr w:type="spellEnd"/>
      <w:r w:rsidRPr="00E45CD5">
        <w:rPr>
          <w:rFonts w:ascii="Arial" w:hAnsi="Arial" w:cs="Arial"/>
          <w:sz w:val="20"/>
          <w:szCs w:val="20"/>
        </w:rPr>
        <w:t xml:space="preserve"> Papers, of van speechen van Europese Commissarissen, of als je een </w:t>
      </w:r>
      <w:proofErr w:type="spellStart"/>
      <w:r w:rsidRPr="00E45CD5">
        <w:rPr>
          <w:rFonts w:ascii="Arial" w:hAnsi="Arial" w:cs="Arial"/>
          <w:sz w:val="20"/>
          <w:szCs w:val="20"/>
        </w:rPr>
        <w:t>process-tracing</w:t>
      </w:r>
      <w:proofErr w:type="spellEnd"/>
      <w:r w:rsidRPr="00E45CD5">
        <w:rPr>
          <w:rFonts w:ascii="Arial" w:hAnsi="Arial" w:cs="Arial"/>
          <w:sz w:val="20"/>
          <w:szCs w:val="20"/>
        </w:rPr>
        <w:t xml:space="preserve"> van Europese richtlijnen wil uitvoeren, etc.). Maar de ene site is natuurlijk de andere niet. De verleiding kan groot zijn om informatie uit Wikipedia of </w:t>
      </w:r>
      <w:proofErr w:type="spellStart"/>
      <w:r w:rsidRPr="00E45CD5">
        <w:rPr>
          <w:rFonts w:ascii="Arial" w:hAnsi="Arial" w:cs="Arial"/>
          <w:sz w:val="20"/>
          <w:szCs w:val="20"/>
        </w:rPr>
        <w:t>Lonely</w:t>
      </w:r>
      <w:proofErr w:type="spellEnd"/>
      <w:r w:rsidRPr="00E45CD5">
        <w:rPr>
          <w:rFonts w:ascii="Arial" w:hAnsi="Arial" w:cs="Arial"/>
          <w:sz w:val="20"/>
          <w:szCs w:val="20"/>
        </w:rPr>
        <w:t xml:space="preserve"> </w:t>
      </w:r>
      <w:proofErr w:type="spellStart"/>
      <w:r w:rsidRPr="00E45CD5">
        <w:rPr>
          <w:rFonts w:ascii="Arial" w:hAnsi="Arial" w:cs="Arial"/>
          <w:sz w:val="20"/>
          <w:szCs w:val="20"/>
        </w:rPr>
        <w:t>Planet</w:t>
      </w:r>
      <w:proofErr w:type="spellEnd"/>
      <w:r w:rsidRPr="00E45CD5">
        <w:rPr>
          <w:rFonts w:ascii="Arial" w:hAnsi="Arial" w:cs="Arial"/>
          <w:sz w:val="20"/>
          <w:szCs w:val="20"/>
        </w:rPr>
        <w:t xml:space="preserve"> te halen, maar dit is zeer onverstandig. Het zijn niet altijd de meest accurate infobronnen,  en het is steeds beter om een meer officiële instantie als bron te gebruiken, zeker als het gaat over ‘feitelijke informatie’.</w:t>
      </w:r>
    </w:p>
    <w:p w14:paraId="628DFD8B" w14:textId="77777777" w:rsidR="00020251" w:rsidRPr="00E45CD5" w:rsidRDefault="00020251" w:rsidP="00020251">
      <w:pPr>
        <w:pStyle w:val="ListParagraph"/>
        <w:numPr>
          <w:ilvl w:val="0"/>
          <w:numId w:val="1"/>
        </w:numPr>
        <w:spacing w:after="200"/>
        <w:contextualSpacing/>
        <w:rPr>
          <w:rFonts w:ascii="Arial" w:hAnsi="Arial" w:cs="Arial"/>
          <w:sz w:val="20"/>
          <w:szCs w:val="20"/>
        </w:rPr>
      </w:pPr>
      <w:r w:rsidRPr="00E45CD5">
        <w:rPr>
          <w:rFonts w:ascii="Arial" w:hAnsi="Arial" w:cs="Arial"/>
          <w:sz w:val="20"/>
          <w:szCs w:val="20"/>
        </w:rPr>
        <w:t>Zéker bij ‘omstreden’ beweringen, bij meningen of standpunten (bijv. “De impasse rond het  Verdrag van Lissabon leidt tot meer euroscepticisme”) , is het cruciaal om te verwijzen naar de bron (en die bron liefst ook wat te situeren: wie is de persoon die dat zegt? In welke functie?).</w:t>
      </w:r>
    </w:p>
    <w:p w14:paraId="7C44A92A" w14:textId="77777777" w:rsidR="00020251" w:rsidRPr="00E45CD5" w:rsidRDefault="00020251" w:rsidP="00020251">
      <w:pPr>
        <w:pStyle w:val="ListParagraph"/>
        <w:numPr>
          <w:ilvl w:val="0"/>
          <w:numId w:val="1"/>
        </w:numPr>
        <w:spacing w:after="200"/>
        <w:contextualSpacing/>
        <w:rPr>
          <w:rFonts w:ascii="Arial" w:hAnsi="Arial" w:cs="Arial"/>
        </w:rPr>
      </w:pPr>
      <w:r w:rsidRPr="00E45CD5">
        <w:rPr>
          <w:rFonts w:ascii="Arial" w:hAnsi="Arial" w:cs="Arial"/>
          <w:sz w:val="20"/>
          <w:szCs w:val="20"/>
        </w:rPr>
        <w:t xml:space="preserve">Zeg niet: “Volgens </w:t>
      </w:r>
      <w:proofErr w:type="spellStart"/>
      <w:r w:rsidRPr="00E45CD5">
        <w:rPr>
          <w:rFonts w:ascii="Arial" w:hAnsi="Arial" w:cs="Arial"/>
          <w:sz w:val="20"/>
          <w:szCs w:val="20"/>
        </w:rPr>
        <w:t>Euractiv</w:t>
      </w:r>
      <w:proofErr w:type="spellEnd"/>
      <w:r w:rsidRPr="00E45CD5">
        <w:rPr>
          <w:rFonts w:ascii="Arial" w:hAnsi="Arial" w:cs="Arial"/>
          <w:sz w:val="20"/>
          <w:szCs w:val="20"/>
        </w:rPr>
        <w:t xml:space="preserve"> is Zweden in de tweede helft van 2009 EU-voorzitter.” – dit is zodanig algemene, feitelijke kennis, dat een bronvermelding niet onmiddellijk nodig is. Als je wel een bron wil vermelden, verwijs dan naar een primaire bron, bijv. rechtstreeks naar de website van de EU zelf. In dezelfde optiek is het niet ‘foutief’, maar wel heel belachelijk om als volgt te verwijzen: “Volgens auteur x of y zegt artikel 6 van het EG-Verdrag dat …”. Ga gewoon naar de primaire bron op zoek, nl. het EG-verdrag, en verwijs rechtstreeks naar dit Verdrag</w:t>
      </w:r>
      <w:r w:rsidRPr="00E45CD5">
        <w:rPr>
          <w:rFonts w:ascii="Arial" w:hAnsi="Arial" w:cs="Arial"/>
        </w:rPr>
        <w:t>.</w:t>
      </w:r>
    </w:p>
    <w:p w14:paraId="711AB122" w14:textId="77777777" w:rsidR="00020251" w:rsidRPr="00E45CD5" w:rsidRDefault="00020251" w:rsidP="00020251">
      <w:pPr>
        <w:tabs>
          <w:tab w:val="left" w:pos="-1440"/>
          <w:tab w:val="left" w:pos="-720"/>
        </w:tabs>
        <w:spacing w:line="240" w:lineRule="auto"/>
        <w:rPr>
          <w:rFonts w:ascii="Arial" w:hAnsi="Arial" w:cs="Arial"/>
          <w:b/>
          <w:kern w:val="1"/>
          <w:sz w:val="28"/>
          <w:szCs w:val="28"/>
          <w:lang w:val="nl-NL"/>
        </w:rPr>
      </w:pPr>
      <w:r w:rsidRPr="00E45CD5">
        <w:rPr>
          <w:rFonts w:ascii="Arial" w:hAnsi="Arial" w:cs="Arial"/>
          <w:b/>
          <w:kern w:val="1"/>
          <w:sz w:val="28"/>
          <w:szCs w:val="28"/>
          <w:lang w:val="nl-NL"/>
        </w:rPr>
        <w:t xml:space="preserve">2. OC </w:t>
      </w:r>
      <w:proofErr w:type="spellStart"/>
      <w:r w:rsidRPr="00E45CD5">
        <w:rPr>
          <w:rFonts w:ascii="Arial" w:hAnsi="Arial" w:cs="Arial"/>
          <w:b/>
          <w:kern w:val="1"/>
          <w:sz w:val="28"/>
          <w:szCs w:val="28"/>
          <w:lang w:val="nl-NL"/>
        </w:rPr>
        <w:t>ComWet</w:t>
      </w:r>
      <w:proofErr w:type="spellEnd"/>
    </w:p>
    <w:p w14:paraId="280A4F60" w14:textId="77777777" w:rsidR="00020251" w:rsidRPr="00E45CD5" w:rsidRDefault="00020251" w:rsidP="00020251">
      <w:pPr>
        <w:tabs>
          <w:tab w:val="left" w:pos="-1440"/>
          <w:tab w:val="left" w:pos="-720"/>
        </w:tabs>
        <w:spacing w:line="240" w:lineRule="auto"/>
        <w:rPr>
          <w:rFonts w:ascii="Arial" w:hAnsi="Arial" w:cs="Arial"/>
          <w:b/>
          <w:kern w:val="1"/>
          <w:lang w:val="nl-NL"/>
        </w:rPr>
      </w:pPr>
    </w:p>
    <w:p w14:paraId="2E93F09D"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plagiaat</w:t>
      </w:r>
    </w:p>
    <w:p w14:paraId="7C828F99" w14:textId="77777777" w:rsidR="00020251" w:rsidRPr="00E45CD5" w:rsidRDefault="00020251" w:rsidP="00020251">
      <w:pPr>
        <w:autoSpaceDE w:val="0"/>
        <w:autoSpaceDN w:val="0"/>
        <w:adjustRightInd w:val="0"/>
        <w:spacing w:line="240" w:lineRule="auto"/>
        <w:rPr>
          <w:rFonts w:ascii="Arial" w:hAnsi="Arial" w:cs="Arial"/>
          <w:b/>
          <w:bCs/>
          <w:i/>
          <w:iCs/>
          <w:sz w:val="20"/>
          <w:szCs w:val="20"/>
          <w:lang w:val="nl-NL"/>
        </w:rPr>
      </w:pPr>
    </w:p>
    <w:p w14:paraId="37CBD53F" w14:textId="77777777" w:rsidR="00020251" w:rsidRPr="00E45CD5" w:rsidRDefault="00020251" w:rsidP="00020251">
      <w:pPr>
        <w:autoSpaceDE w:val="0"/>
        <w:autoSpaceDN w:val="0"/>
        <w:adjustRightInd w:val="0"/>
        <w:spacing w:line="240" w:lineRule="auto"/>
        <w:rPr>
          <w:rFonts w:ascii="Arial" w:hAnsi="Arial" w:cs="Arial"/>
          <w:kern w:val="1"/>
          <w:sz w:val="20"/>
          <w:szCs w:val="20"/>
          <w:lang w:val="nl-NL"/>
        </w:rPr>
      </w:pPr>
      <w:r w:rsidRPr="00E45CD5">
        <w:rPr>
          <w:rFonts w:ascii="Arial" w:hAnsi="Arial" w:cs="Arial"/>
          <w:sz w:val="20"/>
          <w:szCs w:val="20"/>
          <w:lang w:val="nl-NL"/>
        </w:rPr>
        <w:t xml:space="preserve">Belangrijk bij onze resultaten is alleszins het besef dat deze afhankelijk kunnen zijn van tal van factoren. Zo komt uit de resultaten bijvoorbeeld vaak duidelijk naar voor dat De Morgen zich niet altijd als kwaliteitskrant heeft geprofileerd. Ook de nodige financiële problemen en/of </w:t>
      </w:r>
      <w:proofErr w:type="spellStart"/>
      <w:r w:rsidRPr="00E45CD5">
        <w:rPr>
          <w:rFonts w:ascii="Arial" w:hAnsi="Arial" w:cs="Arial"/>
          <w:sz w:val="20"/>
          <w:szCs w:val="20"/>
          <w:lang w:val="nl-NL"/>
        </w:rPr>
        <w:t>facelifts</w:t>
      </w:r>
      <w:proofErr w:type="spellEnd"/>
      <w:r w:rsidRPr="00E45CD5">
        <w:rPr>
          <w:rFonts w:ascii="Arial" w:hAnsi="Arial" w:cs="Arial"/>
          <w:sz w:val="20"/>
          <w:szCs w:val="20"/>
          <w:lang w:val="nl-NL"/>
        </w:rPr>
        <w:t xml:space="preserve"> bij kranten reflecteren zich vast en zeker in de data. De conclusies zijn dus in sterke mate afhankelijk van de eigen historiek van de krant. Ook het maatschappelijke klimaat, wijzigende interesses van lezers, of de introductie van nieuwe druktechnologieën kunnen onze resultaten beïnvloeden.</w:t>
      </w:r>
    </w:p>
    <w:p w14:paraId="21C0A4AF"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p>
    <w:p w14:paraId="767A9C65" w14:textId="77777777" w:rsidR="00020251" w:rsidRDefault="00020251" w:rsidP="00020251">
      <w:pPr>
        <w:tabs>
          <w:tab w:val="left" w:pos="-1440"/>
          <w:tab w:val="left" w:pos="-720"/>
        </w:tabs>
        <w:spacing w:line="240" w:lineRule="auto"/>
        <w:rPr>
          <w:rFonts w:ascii="Arial" w:hAnsi="Arial" w:cs="Arial"/>
          <w:b/>
          <w:kern w:val="1"/>
          <w:sz w:val="20"/>
          <w:szCs w:val="20"/>
          <w:lang w:val="nl-NL"/>
        </w:rPr>
      </w:pPr>
    </w:p>
    <w:p w14:paraId="58CED230" w14:textId="77777777" w:rsidR="00020251" w:rsidRDefault="00020251" w:rsidP="00020251">
      <w:pPr>
        <w:tabs>
          <w:tab w:val="left" w:pos="-1440"/>
          <w:tab w:val="left" w:pos="-720"/>
        </w:tabs>
        <w:spacing w:line="240" w:lineRule="auto"/>
        <w:rPr>
          <w:rFonts w:ascii="Arial" w:hAnsi="Arial" w:cs="Arial"/>
          <w:b/>
          <w:kern w:val="1"/>
          <w:sz w:val="20"/>
          <w:szCs w:val="20"/>
          <w:lang w:val="nl-NL"/>
        </w:rPr>
      </w:pPr>
    </w:p>
    <w:p w14:paraId="11627340" w14:textId="77777777" w:rsidR="00020251" w:rsidRDefault="00020251" w:rsidP="00020251">
      <w:pPr>
        <w:tabs>
          <w:tab w:val="left" w:pos="-1440"/>
          <w:tab w:val="left" w:pos="-720"/>
        </w:tabs>
        <w:spacing w:line="240" w:lineRule="auto"/>
        <w:rPr>
          <w:rFonts w:ascii="Arial" w:hAnsi="Arial" w:cs="Arial"/>
          <w:b/>
          <w:kern w:val="1"/>
          <w:sz w:val="20"/>
          <w:szCs w:val="20"/>
          <w:lang w:val="nl-NL"/>
        </w:rPr>
      </w:pPr>
    </w:p>
    <w:p w14:paraId="08EC22BD" w14:textId="77777777" w:rsidR="00020251" w:rsidRDefault="00020251" w:rsidP="00020251">
      <w:pPr>
        <w:tabs>
          <w:tab w:val="left" w:pos="-1440"/>
          <w:tab w:val="left" w:pos="-720"/>
        </w:tabs>
        <w:spacing w:line="240" w:lineRule="auto"/>
        <w:rPr>
          <w:rFonts w:ascii="Arial" w:hAnsi="Arial" w:cs="Arial"/>
          <w:b/>
          <w:kern w:val="1"/>
          <w:sz w:val="20"/>
          <w:szCs w:val="20"/>
          <w:lang w:val="nl-NL"/>
        </w:rPr>
      </w:pPr>
    </w:p>
    <w:p w14:paraId="65FD60E2" w14:textId="77777777" w:rsidR="00020251" w:rsidRDefault="00020251" w:rsidP="00020251">
      <w:pPr>
        <w:tabs>
          <w:tab w:val="left" w:pos="-1440"/>
          <w:tab w:val="left" w:pos="-720"/>
        </w:tabs>
        <w:spacing w:line="240" w:lineRule="auto"/>
        <w:rPr>
          <w:rFonts w:ascii="Arial" w:hAnsi="Arial" w:cs="Arial"/>
          <w:b/>
          <w:kern w:val="1"/>
          <w:sz w:val="20"/>
          <w:szCs w:val="20"/>
          <w:lang w:val="nl-NL"/>
        </w:rPr>
      </w:pPr>
    </w:p>
    <w:p w14:paraId="447AAF18" w14:textId="77777777" w:rsidR="00020251" w:rsidRDefault="00020251" w:rsidP="00020251">
      <w:pPr>
        <w:tabs>
          <w:tab w:val="left" w:pos="-1440"/>
          <w:tab w:val="left" w:pos="-720"/>
        </w:tabs>
        <w:spacing w:line="240" w:lineRule="auto"/>
        <w:rPr>
          <w:rFonts w:ascii="Arial" w:hAnsi="Arial" w:cs="Arial"/>
          <w:b/>
          <w:kern w:val="1"/>
          <w:sz w:val="20"/>
          <w:szCs w:val="20"/>
          <w:lang w:val="nl-NL"/>
        </w:rPr>
      </w:pPr>
    </w:p>
    <w:p w14:paraId="319C0243" w14:textId="77777777" w:rsidR="00020251" w:rsidRDefault="00020251" w:rsidP="00020251">
      <w:pPr>
        <w:tabs>
          <w:tab w:val="left" w:pos="-1440"/>
          <w:tab w:val="left" w:pos="-720"/>
        </w:tabs>
        <w:spacing w:line="240" w:lineRule="auto"/>
        <w:rPr>
          <w:rFonts w:ascii="Arial" w:hAnsi="Arial" w:cs="Arial"/>
          <w:b/>
          <w:kern w:val="1"/>
          <w:sz w:val="20"/>
          <w:szCs w:val="20"/>
          <w:lang w:val="nl-NL"/>
        </w:rPr>
      </w:pPr>
    </w:p>
    <w:p w14:paraId="490F9650"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lastRenderedPageBreak/>
        <w:t xml:space="preserve">Voorbeeld correcte referentie </w:t>
      </w:r>
    </w:p>
    <w:p w14:paraId="760649F6"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p>
    <w:p w14:paraId="6A504678" w14:textId="77777777" w:rsidR="00020251" w:rsidRPr="00E45CD5" w:rsidRDefault="00020251" w:rsidP="00020251">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kern w:val="1"/>
          <w:sz w:val="20"/>
          <w:szCs w:val="20"/>
          <w:lang w:val="nl-NL"/>
        </w:rPr>
      </w:pPr>
      <w:r w:rsidRPr="00E45CD5">
        <w:rPr>
          <w:rFonts w:ascii="Arial" w:hAnsi="Arial" w:cs="Arial"/>
          <w:sz w:val="20"/>
          <w:szCs w:val="20"/>
          <w:lang w:val="nl-NL"/>
        </w:rPr>
        <w:t xml:space="preserve">In het doctoraatsonderzoek van Laurence </w:t>
      </w:r>
      <w:proofErr w:type="spellStart"/>
      <w:r w:rsidRPr="00E45CD5">
        <w:rPr>
          <w:rFonts w:ascii="Arial" w:hAnsi="Arial" w:cs="Arial"/>
          <w:sz w:val="20"/>
          <w:szCs w:val="20"/>
          <w:lang w:val="nl-NL"/>
        </w:rPr>
        <w:t>Hauttekeete</w:t>
      </w:r>
      <w:proofErr w:type="spellEnd"/>
      <w:r w:rsidRPr="00E45CD5">
        <w:rPr>
          <w:rFonts w:ascii="Arial" w:hAnsi="Arial" w:cs="Arial"/>
          <w:sz w:val="20"/>
          <w:szCs w:val="20"/>
          <w:lang w:val="nl-NL"/>
        </w:rPr>
        <w:t xml:space="preserve"> wordt gesteld dat het belangrijk is dat de resultaten van een kwalitatief onderzoek naar </w:t>
      </w:r>
      <w:proofErr w:type="spellStart"/>
      <w:r w:rsidRPr="00E45CD5">
        <w:rPr>
          <w:rFonts w:ascii="Arial" w:hAnsi="Arial" w:cs="Arial"/>
          <w:sz w:val="20"/>
          <w:szCs w:val="20"/>
          <w:lang w:val="nl-NL"/>
        </w:rPr>
        <w:t>tabloidisering</w:t>
      </w:r>
      <w:proofErr w:type="spellEnd"/>
      <w:r w:rsidRPr="00E45CD5">
        <w:rPr>
          <w:rFonts w:ascii="Arial" w:hAnsi="Arial" w:cs="Arial"/>
          <w:sz w:val="20"/>
          <w:szCs w:val="20"/>
          <w:lang w:val="nl-NL"/>
        </w:rPr>
        <w:t xml:space="preserve"> in printmedia afhankelijk zijn van een aantal factoren. Waarmee ze duidt op de complexiteit van deze materie: “Zo komt uit de resultaten bijvoorbeeld vaak duidelijk naar voor dat </w:t>
      </w:r>
      <w:r w:rsidRPr="00E45CD5">
        <w:rPr>
          <w:rFonts w:ascii="Arial" w:hAnsi="Arial" w:cs="Arial"/>
          <w:i/>
          <w:sz w:val="20"/>
          <w:szCs w:val="20"/>
          <w:lang w:val="nl-NL"/>
        </w:rPr>
        <w:t>De Morgen</w:t>
      </w:r>
      <w:r w:rsidRPr="00E45CD5">
        <w:rPr>
          <w:rFonts w:ascii="Arial" w:hAnsi="Arial" w:cs="Arial"/>
          <w:sz w:val="20"/>
          <w:szCs w:val="20"/>
          <w:lang w:val="nl-NL"/>
        </w:rPr>
        <w:t xml:space="preserve"> zich niet altijd als kwaliteitskrant heeft geprofileerd. Ook de nodige financiële problemen en/of </w:t>
      </w:r>
      <w:proofErr w:type="spellStart"/>
      <w:r w:rsidRPr="00E45CD5">
        <w:rPr>
          <w:rFonts w:ascii="Arial" w:hAnsi="Arial" w:cs="Arial"/>
          <w:sz w:val="20"/>
          <w:szCs w:val="20"/>
          <w:lang w:val="nl-NL"/>
        </w:rPr>
        <w:t>facelifts</w:t>
      </w:r>
      <w:proofErr w:type="spellEnd"/>
      <w:r w:rsidRPr="00E45CD5">
        <w:rPr>
          <w:rFonts w:ascii="Arial" w:hAnsi="Arial" w:cs="Arial"/>
          <w:sz w:val="20"/>
          <w:szCs w:val="20"/>
          <w:lang w:val="nl-NL"/>
        </w:rPr>
        <w:t xml:space="preserve"> bij kranten reflecteren zich vast en zeker in de data. De conclusies zijn “dus in sterke mate afhankelijk van de eigen historiek van de krant. Ook het maatschappelijke klimaat, wijzigende interesses van lezers, of de introductie van nieuwe druktechnologieën kunnen onze resultaten beïnvloeden”. </w:t>
      </w:r>
      <w:r w:rsidRPr="00E45CD5">
        <w:rPr>
          <w:rFonts w:ascii="Arial" w:hAnsi="Arial" w:cs="Arial"/>
          <w:sz w:val="20"/>
          <w:szCs w:val="20"/>
          <w:u w:val="single"/>
          <w:lang w:val="nl-NL"/>
        </w:rPr>
        <w:t>(https://archive.ugent.be/retrieve/2776/Doctoraat+Laurence+Hauttekeete.pdf, p. 390)</w:t>
      </w:r>
    </w:p>
    <w:p w14:paraId="24AC5D36" w14:textId="77777777" w:rsidR="00020251" w:rsidRPr="00E45CD5" w:rsidRDefault="00020251" w:rsidP="00020251">
      <w:pPr>
        <w:tabs>
          <w:tab w:val="left" w:pos="-1440"/>
          <w:tab w:val="left" w:pos="-720"/>
        </w:tabs>
        <w:spacing w:line="240" w:lineRule="auto"/>
        <w:rPr>
          <w:rFonts w:ascii="Arial" w:hAnsi="Arial" w:cs="Arial"/>
          <w:b/>
          <w:kern w:val="1"/>
          <w:lang w:val="nl-NL"/>
        </w:rPr>
      </w:pPr>
    </w:p>
    <w:p w14:paraId="03809E83" w14:textId="77777777" w:rsidR="00020251" w:rsidRPr="00E45CD5" w:rsidRDefault="00020251" w:rsidP="00020251">
      <w:pPr>
        <w:tabs>
          <w:tab w:val="left" w:pos="-1440"/>
          <w:tab w:val="left" w:pos="-720"/>
        </w:tabs>
        <w:spacing w:line="240" w:lineRule="auto"/>
        <w:rPr>
          <w:rFonts w:ascii="Arial" w:hAnsi="Arial" w:cs="Arial"/>
          <w:b/>
          <w:kern w:val="1"/>
          <w:lang w:val="nl-NL"/>
        </w:rPr>
      </w:pPr>
    </w:p>
    <w:p w14:paraId="784DBC69" w14:textId="77777777" w:rsidR="00020251" w:rsidRPr="00E45CD5" w:rsidRDefault="00020251" w:rsidP="00020251">
      <w:pPr>
        <w:tabs>
          <w:tab w:val="left" w:pos="-1440"/>
          <w:tab w:val="left" w:pos="-720"/>
        </w:tabs>
        <w:spacing w:line="240" w:lineRule="auto"/>
        <w:rPr>
          <w:rFonts w:ascii="Arial" w:hAnsi="Arial" w:cs="Arial"/>
          <w:b/>
          <w:kern w:val="1"/>
          <w:lang w:val="nl-NL"/>
        </w:rPr>
      </w:pPr>
    </w:p>
    <w:p w14:paraId="59420A85" w14:textId="77777777" w:rsidR="00020251" w:rsidRPr="00E45CD5" w:rsidRDefault="00020251" w:rsidP="00020251">
      <w:pPr>
        <w:tabs>
          <w:tab w:val="left" w:pos="-1440"/>
          <w:tab w:val="left" w:pos="-720"/>
        </w:tabs>
        <w:spacing w:line="240" w:lineRule="auto"/>
        <w:rPr>
          <w:rFonts w:ascii="Arial" w:hAnsi="Arial" w:cs="Arial"/>
          <w:b/>
          <w:kern w:val="1"/>
          <w:sz w:val="28"/>
          <w:szCs w:val="28"/>
          <w:lang w:val="nl-NL"/>
        </w:rPr>
      </w:pPr>
      <w:r w:rsidRPr="00E45CD5">
        <w:rPr>
          <w:rFonts w:ascii="Arial" w:hAnsi="Arial" w:cs="Arial"/>
          <w:b/>
          <w:kern w:val="1"/>
          <w:sz w:val="28"/>
          <w:szCs w:val="28"/>
          <w:lang w:val="nl-NL"/>
        </w:rPr>
        <w:t>3. OC SOCIO</w:t>
      </w:r>
    </w:p>
    <w:p w14:paraId="559A6C41" w14:textId="77777777" w:rsidR="00020251" w:rsidRPr="00E45CD5" w:rsidRDefault="00020251" w:rsidP="00020251">
      <w:pPr>
        <w:tabs>
          <w:tab w:val="left" w:pos="-1440"/>
          <w:tab w:val="left" w:pos="-720"/>
        </w:tabs>
        <w:spacing w:line="240" w:lineRule="auto"/>
        <w:rPr>
          <w:rFonts w:ascii="Arial" w:hAnsi="Arial" w:cs="Arial"/>
          <w:b/>
          <w:kern w:val="1"/>
          <w:lang w:val="nl-NL"/>
        </w:rPr>
      </w:pPr>
    </w:p>
    <w:p w14:paraId="2037CE96"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Verkeerde weergave van een internetbron</w:t>
      </w:r>
    </w:p>
    <w:p w14:paraId="17FD0339"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r w:rsidRPr="00E45CD5">
        <w:rPr>
          <w:rFonts w:ascii="Arial" w:eastAsia="Calibri" w:hAnsi="Arial" w:cs="Arial"/>
          <w:sz w:val="20"/>
          <w:szCs w:val="20"/>
        </w:rPr>
        <w:t>Het aantal thuislozen in België wordt volgens het Europees Observatorium voor Thuisloosheid (</w:t>
      </w:r>
      <w:proofErr w:type="spellStart"/>
      <w:r w:rsidRPr="00E45CD5">
        <w:rPr>
          <w:rFonts w:ascii="Arial" w:eastAsia="Calibri" w:hAnsi="Arial" w:cs="Arial"/>
          <w:sz w:val="20"/>
          <w:szCs w:val="20"/>
        </w:rPr>
        <w:t>Feantsa</w:t>
      </w:r>
      <w:proofErr w:type="spellEnd"/>
      <w:r w:rsidRPr="00E45CD5">
        <w:rPr>
          <w:rFonts w:ascii="Arial" w:eastAsia="Calibri" w:hAnsi="Arial" w:cs="Arial"/>
          <w:sz w:val="20"/>
          <w:szCs w:val="20"/>
        </w:rPr>
        <w:t>) geschat op 17.000 mensen. Deze cijfers moeten echter met de nodige omzichtigheid gehanteerd worden aangezien er in België (net zoals in de rest van Europa) geen enkele officiële telling van het aantal dak- en thuislozen bestaat. Eén van de belangrijkste problemen in dit verband is het feit dat thuisloosheid verschillende verschijningsvormen kent en moeilijk gedefinieerd kan worden. Bovendien is het moeilijk de dak- en thuislozen te bereiken. Dit heeft tot gevolg dat de beschikbare cijfers ofwel schattingen zijn, ofwel enkel betrekking hebben op het aantal bereikte thuislozen via de opvang. Alhoewel men hierdoor een eerste beeld van de groep van thuislozen krijgt, moet men zich er steeds van bewust zijn dat het werkelijke aantal thuislozen hoger ligt, aangezien de thuislozen die niet door de opvangvoorzieningen worden bereikt niet meegeteld worden.</w:t>
      </w:r>
    </w:p>
    <w:p w14:paraId="6071540F"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p>
    <w:p w14:paraId="76B29FAF"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Correcte manier van weergeven:</w:t>
      </w:r>
    </w:p>
    <w:p w14:paraId="3DA4ED6B"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u w:val="single"/>
        </w:rPr>
      </w:pPr>
      <w:r w:rsidRPr="00E45CD5">
        <w:rPr>
          <w:rFonts w:ascii="Arial" w:eastAsia="Calibri" w:hAnsi="Arial" w:cs="Arial"/>
          <w:b/>
          <w:sz w:val="20"/>
          <w:szCs w:val="20"/>
          <w:u w:val="single"/>
        </w:rPr>
        <w:t>Eerste manier: Citaat</w:t>
      </w:r>
    </w:p>
    <w:p w14:paraId="7B34EAA0" w14:textId="77777777" w:rsidR="00020251" w:rsidRPr="00E45CD5" w:rsidRDefault="00020251" w:rsidP="00020251">
      <w:pPr>
        <w:tabs>
          <w:tab w:val="left" w:pos="-1440"/>
          <w:tab w:val="left" w:pos="-720"/>
        </w:tabs>
        <w:spacing w:line="240" w:lineRule="auto"/>
        <w:rPr>
          <w:rFonts w:ascii="Arial" w:eastAsia="Calibri" w:hAnsi="Arial" w:cs="Arial"/>
          <w:sz w:val="20"/>
          <w:szCs w:val="20"/>
        </w:rPr>
      </w:pPr>
      <w:r w:rsidRPr="00E45CD5">
        <w:rPr>
          <w:rFonts w:ascii="Arial" w:eastAsia="Calibri" w:hAnsi="Arial" w:cs="Arial"/>
          <w:sz w:val="20"/>
          <w:szCs w:val="20"/>
        </w:rPr>
        <w:t>Vranken en zijn collega’s (2007) verwoordden dit als volgt:</w:t>
      </w:r>
    </w:p>
    <w:p w14:paraId="3819E447" w14:textId="77777777" w:rsidR="00020251" w:rsidRPr="00E45CD5" w:rsidRDefault="00020251" w:rsidP="00020251">
      <w:pPr>
        <w:tabs>
          <w:tab w:val="left" w:pos="-1440"/>
          <w:tab w:val="left" w:pos="-720"/>
        </w:tabs>
        <w:spacing w:line="240" w:lineRule="auto"/>
        <w:jc w:val="center"/>
        <w:rPr>
          <w:rFonts w:ascii="Arial" w:eastAsia="Calibri" w:hAnsi="Arial" w:cs="Arial"/>
          <w:i/>
          <w:sz w:val="20"/>
          <w:szCs w:val="20"/>
        </w:rPr>
      </w:pPr>
    </w:p>
    <w:p w14:paraId="54573DDA" w14:textId="77777777" w:rsidR="00020251" w:rsidRPr="00E45CD5" w:rsidRDefault="00020251" w:rsidP="00020251">
      <w:pPr>
        <w:tabs>
          <w:tab w:val="left" w:pos="-1440"/>
          <w:tab w:val="left" w:pos="-720"/>
        </w:tabs>
        <w:spacing w:line="240" w:lineRule="auto"/>
        <w:jc w:val="both"/>
        <w:rPr>
          <w:rFonts w:ascii="Arial" w:eastAsia="Calibri" w:hAnsi="Arial" w:cs="Arial"/>
          <w:b/>
          <w:i/>
          <w:sz w:val="20"/>
          <w:szCs w:val="20"/>
          <w:u w:val="single"/>
        </w:rPr>
      </w:pPr>
      <w:r w:rsidRPr="00E45CD5">
        <w:rPr>
          <w:rFonts w:ascii="Arial" w:eastAsia="Calibri" w:hAnsi="Arial" w:cs="Arial"/>
          <w:i/>
          <w:sz w:val="20"/>
          <w:szCs w:val="20"/>
        </w:rPr>
        <w:t>“Het aantal thuislozen in België wordt volgens het Europees Observatorium voor Thuisloosheid (</w:t>
      </w:r>
      <w:proofErr w:type="spellStart"/>
      <w:r w:rsidRPr="00E45CD5">
        <w:rPr>
          <w:rFonts w:ascii="Arial" w:eastAsia="Calibri" w:hAnsi="Arial" w:cs="Arial"/>
          <w:i/>
          <w:sz w:val="20"/>
          <w:szCs w:val="20"/>
        </w:rPr>
        <w:t>Feantsa</w:t>
      </w:r>
      <w:proofErr w:type="spellEnd"/>
      <w:r w:rsidRPr="00E45CD5">
        <w:rPr>
          <w:rFonts w:ascii="Arial" w:eastAsia="Calibri" w:hAnsi="Arial" w:cs="Arial"/>
          <w:i/>
          <w:sz w:val="20"/>
          <w:szCs w:val="20"/>
        </w:rPr>
        <w:t xml:space="preserve">) geschat op 17.000 mensen. Deze cijfers moeten echter met de nodige omzichtigheid gehanteerd worden aangezien er in België (net zoals in de rest van Europa) geen enkele officiële telling van het aantal dak- en thuislozen bestaat. Eén van de belangrijkste problemen in dit verband is het feit dat thuisloosheid verschillende verschijningsvormen kent en moeilijk kan gedefinieerd worden. Bovendien is het moeilijk de dak- en thuislozen te bereiken. Dit heeft tot gevolg dat de beschikbare cijfers ofwel schattingen zijn, ofwel enkel betrekking hebben op het aantal bereikte thuislozen via de opvang. Alhoewel men hierdoor een eerste beeld van de groep van thuislozen krijgt, moet men zich er steeds van bewust zijn dat het werkelijke aantal thuislozen hoger ligt, aangezien de thuislozen die niet door de opvangvoorzieningen worden bereikt niet meegeteld worden.” </w:t>
      </w:r>
      <w:r w:rsidRPr="00E45CD5">
        <w:rPr>
          <w:rFonts w:ascii="Arial" w:eastAsia="Calibri" w:hAnsi="Arial" w:cs="Arial"/>
          <w:i/>
          <w:sz w:val="20"/>
          <w:szCs w:val="20"/>
        </w:rPr>
        <w:br/>
      </w:r>
      <w:r w:rsidRPr="00E45CD5">
        <w:rPr>
          <w:rFonts w:ascii="Arial" w:eastAsia="Calibri" w:hAnsi="Arial" w:cs="Arial"/>
          <w:sz w:val="20"/>
          <w:szCs w:val="20"/>
        </w:rPr>
        <w:t>(</w:t>
      </w:r>
      <w:hyperlink r:id="rId11" w:history="1">
        <w:r w:rsidRPr="00E45CD5">
          <w:rPr>
            <w:rStyle w:val="Hyperlink"/>
            <w:rFonts w:ascii="Arial" w:eastAsia="Calibri" w:hAnsi="Arial" w:cs="Arial"/>
            <w:sz w:val="20"/>
            <w:szCs w:val="20"/>
          </w:rPr>
          <w:t>http://www.armoedebestrijding.be/cijfers_daklozen.htm</w:t>
        </w:r>
      </w:hyperlink>
      <w:r w:rsidRPr="00E45CD5">
        <w:rPr>
          <w:rFonts w:ascii="Arial" w:eastAsia="Calibri" w:hAnsi="Arial" w:cs="Arial"/>
          <w:sz w:val="20"/>
          <w:szCs w:val="20"/>
        </w:rPr>
        <w:t>, geraadpleegd op 21/10/2008)</w:t>
      </w:r>
    </w:p>
    <w:p w14:paraId="31ECA7AB"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u w:val="single"/>
        </w:rPr>
      </w:pPr>
    </w:p>
    <w:p w14:paraId="5EE90BEF"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r w:rsidRPr="00E45CD5">
        <w:rPr>
          <w:rFonts w:ascii="Arial" w:eastAsia="Calibri" w:hAnsi="Arial" w:cs="Arial"/>
          <w:b/>
          <w:sz w:val="20"/>
          <w:szCs w:val="20"/>
        </w:rPr>
        <w:t xml:space="preserve">Enkel citaat: </w:t>
      </w:r>
      <w:r w:rsidRPr="00E45CD5">
        <w:rPr>
          <w:rFonts w:ascii="Arial" w:eastAsia="Calibri" w:hAnsi="Arial" w:cs="Arial"/>
          <w:b/>
          <w:sz w:val="20"/>
          <w:szCs w:val="20"/>
        </w:rPr>
        <w:tab/>
      </w:r>
      <w:r w:rsidRPr="00E45CD5">
        <w:rPr>
          <w:rFonts w:ascii="Arial" w:eastAsia="Calibri" w:hAnsi="Arial" w:cs="Arial"/>
          <w:b/>
          <w:sz w:val="20"/>
          <w:szCs w:val="20"/>
        </w:rPr>
        <w:tab/>
      </w:r>
      <w:r w:rsidRPr="00E45CD5">
        <w:rPr>
          <w:rFonts w:ascii="Arial" w:eastAsia="Calibri" w:hAnsi="Arial" w:cs="Arial"/>
          <w:sz w:val="20"/>
          <w:szCs w:val="20"/>
        </w:rPr>
        <w:t>Als het zin heeft de letterlijke bewoordingen van de auteur te gebruiken</w:t>
      </w:r>
    </w:p>
    <w:p w14:paraId="2D7BAE3C" w14:textId="77777777" w:rsidR="00020251" w:rsidRPr="00E45CD5" w:rsidRDefault="00020251" w:rsidP="00020251">
      <w:pPr>
        <w:numPr>
          <w:ilvl w:val="2"/>
          <w:numId w:val="2"/>
        </w:numPr>
        <w:tabs>
          <w:tab w:val="left" w:pos="-1440"/>
          <w:tab w:val="left" w:pos="-720"/>
        </w:tabs>
        <w:spacing w:line="240" w:lineRule="auto"/>
        <w:jc w:val="both"/>
        <w:rPr>
          <w:rFonts w:ascii="Arial" w:eastAsia="Calibri" w:hAnsi="Arial" w:cs="Arial"/>
          <w:sz w:val="20"/>
          <w:szCs w:val="20"/>
        </w:rPr>
      </w:pPr>
      <w:r w:rsidRPr="00E45CD5">
        <w:rPr>
          <w:rFonts w:ascii="Arial" w:eastAsia="Calibri" w:hAnsi="Arial" w:cs="Arial"/>
          <w:sz w:val="20"/>
          <w:szCs w:val="20"/>
        </w:rPr>
        <w:t>Om aandacht op een bepaald punt te vestigen</w:t>
      </w:r>
    </w:p>
    <w:p w14:paraId="7CD8088A"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u w:val="single"/>
        </w:rPr>
      </w:pPr>
    </w:p>
    <w:p w14:paraId="06CC80AF"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u w:val="single"/>
        </w:rPr>
      </w:pPr>
      <w:r w:rsidRPr="00E45CD5">
        <w:rPr>
          <w:rFonts w:ascii="Arial" w:eastAsia="Calibri" w:hAnsi="Arial" w:cs="Arial"/>
          <w:b/>
          <w:sz w:val="20"/>
          <w:szCs w:val="20"/>
          <w:u w:val="single"/>
        </w:rPr>
        <w:t>Tweede manier:</w:t>
      </w:r>
    </w:p>
    <w:p w14:paraId="6E717870"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r w:rsidRPr="00E45CD5">
        <w:rPr>
          <w:rFonts w:ascii="Arial" w:eastAsia="Calibri" w:hAnsi="Arial" w:cs="Arial"/>
          <w:sz w:val="20"/>
          <w:szCs w:val="20"/>
        </w:rPr>
        <w:t>Vranken en zijn collega’s (2007) haalden aan dat het Europees Observatorium voor Thuisloosheid (</w:t>
      </w:r>
      <w:proofErr w:type="spellStart"/>
      <w:r w:rsidRPr="00E45CD5">
        <w:rPr>
          <w:rFonts w:ascii="Arial" w:eastAsia="Calibri" w:hAnsi="Arial" w:cs="Arial"/>
          <w:sz w:val="20"/>
          <w:szCs w:val="20"/>
        </w:rPr>
        <w:t>Feantsa</w:t>
      </w:r>
      <w:proofErr w:type="spellEnd"/>
      <w:r w:rsidRPr="00E45CD5">
        <w:rPr>
          <w:rFonts w:ascii="Arial" w:eastAsia="Calibri" w:hAnsi="Arial" w:cs="Arial"/>
          <w:sz w:val="20"/>
          <w:szCs w:val="20"/>
        </w:rPr>
        <w:t>) het aantal thuislozen in België op 17.000 mensen schat. De auteurs stelden wel dat deze cijfers met de nodige omzichtigheid dienen geïnterpreteerd te worden: volgens hen bestaat in België geen officiële telling van het aantal dak- en thuislozen. Volgens Vranken en zijn collega’s (2007) is dit te wijten aan twee belangrijke problemen: eerst en vooral kan dak- en thuisloosheid verscheidene vormen aannemen, zodat het niet eenduidig gedefinieerd kan worden; daarnaast zijn dak- en thuislozen moeilijk te bereiken. Ofwel zijn cijfers dus schattingen, ofwel gaan ze uit van het aantal thuislozen in de opvang (Vranken et al., 2007). Dit zorgt ervoor dat de gebruikte cijfers altijd het echte aantal onderschatten: de dak- en thuislozen die geen gebruik maken van de opvang, worden niet meegeteld (Vranken et al., 2007).</w:t>
      </w:r>
    </w:p>
    <w:p w14:paraId="122649BD" w14:textId="77777777" w:rsidR="00020251" w:rsidRPr="00E45CD5" w:rsidRDefault="00020251" w:rsidP="00020251">
      <w:pPr>
        <w:tabs>
          <w:tab w:val="left" w:pos="-1440"/>
          <w:tab w:val="left" w:pos="-720"/>
        </w:tabs>
        <w:spacing w:line="240" w:lineRule="auto"/>
        <w:rPr>
          <w:rFonts w:ascii="Arial" w:hAnsi="Arial" w:cs="Arial"/>
          <w:b/>
          <w:kern w:val="1"/>
          <w:sz w:val="32"/>
          <w:szCs w:val="32"/>
          <w:lang w:val="nl-NL"/>
        </w:rPr>
      </w:pPr>
      <w:r w:rsidRPr="00E45CD5">
        <w:rPr>
          <w:rFonts w:ascii="Arial" w:hAnsi="Arial" w:cs="Arial"/>
          <w:b/>
          <w:kern w:val="1"/>
          <w:sz w:val="32"/>
          <w:szCs w:val="32"/>
          <w:lang w:val="nl-NL"/>
        </w:rPr>
        <w:br w:type="page"/>
      </w:r>
      <w:r w:rsidRPr="00E45CD5">
        <w:rPr>
          <w:rFonts w:ascii="Arial" w:hAnsi="Arial" w:cs="Arial"/>
          <w:b/>
          <w:kern w:val="1"/>
          <w:sz w:val="32"/>
          <w:szCs w:val="32"/>
          <w:lang w:val="nl-NL"/>
        </w:rPr>
        <w:lastRenderedPageBreak/>
        <w:t xml:space="preserve">Voorbeeld plagiaat bij </w:t>
      </w:r>
      <w:r w:rsidRPr="00E45CD5">
        <w:rPr>
          <w:rFonts w:ascii="Arial" w:hAnsi="Arial" w:cs="Arial"/>
          <w:b/>
          <w:sz w:val="32"/>
          <w:szCs w:val="32"/>
        </w:rPr>
        <w:t>databestanden/datatabellen</w:t>
      </w:r>
    </w:p>
    <w:p w14:paraId="61E7A49C" w14:textId="77777777" w:rsidR="00020251" w:rsidRPr="00E45CD5" w:rsidRDefault="00020251" w:rsidP="00020251">
      <w:pPr>
        <w:tabs>
          <w:tab w:val="left" w:pos="-1440"/>
          <w:tab w:val="left" w:pos="-720"/>
        </w:tabs>
        <w:spacing w:line="240" w:lineRule="auto"/>
        <w:rPr>
          <w:rFonts w:ascii="Arial" w:hAnsi="Arial" w:cs="Arial"/>
          <w:b/>
          <w:lang w:val="nl-NL"/>
        </w:rPr>
      </w:pPr>
    </w:p>
    <w:p w14:paraId="0EA2E36B" w14:textId="77777777" w:rsidR="00020251" w:rsidRPr="00E45CD5" w:rsidRDefault="00020251" w:rsidP="00020251">
      <w:pPr>
        <w:tabs>
          <w:tab w:val="left" w:pos="-1440"/>
          <w:tab w:val="left" w:pos="-720"/>
        </w:tabs>
        <w:spacing w:line="240" w:lineRule="auto"/>
        <w:rPr>
          <w:rFonts w:ascii="Arial" w:hAnsi="Arial" w:cs="Arial"/>
          <w:b/>
          <w:sz w:val="28"/>
          <w:szCs w:val="28"/>
          <w:lang w:val="nl-NL"/>
        </w:rPr>
      </w:pPr>
      <w:r w:rsidRPr="00E45CD5">
        <w:rPr>
          <w:rFonts w:ascii="Arial" w:hAnsi="Arial" w:cs="Arial"/>
          <w:b/>
          <w:sz w:val="28"/>
          <w:szCs w:val="28"/>
          <w:lang w:val="nl-NL"/>
        </w:rPr>
        <w:t xml:space="preserve">1. OC </w:t>
      </w:r>
      <w:proofErr w:type="spellStart"/>
      <w:r w:rsidRPr="00E45CD5">
        <w:rPr>
          <w:rFonts w:ascii="Arial" w:hAnsi="Arial" w:cs="Arial"/>
          <w:b/>
          <w:sz w:val="28"/>
          <w:szCs w:val="28"/>
          <w:lang w:val="nl-NL"/>
        </w:rPr>
        <w:t>PolWet</w:t>
      </w:r>
      <w:proofErr w:type="spellEnd"/>
    </w:p>
    <w:p w14:paraId="19FB452F" w14:textId="77777777" w:rsidR="00020251" w:rsidRPr="00E45CD5" w:rsidRDefault="00020251" w:rsidP="00020251">
      <w:pPr>
        <w:spacing w:line="240" w:lineRule="auto"/>
        <w:rPr>
          <w:rFonts w:ascii="Arial" w:hAnsi="Arial" w:cs="Arial"/>
          <w:i/>
          <w:lang w:val="nl-NL"/>
        </w:rPr>
      </w:pPr>
    </w:p>
    <w:p w14:paraId="5799D039" w14:textId="77777777" w:rsidR="00020251" w:rsidRPr="00E45CD5" w:rsidRDefault="00020251" w:rsidP="00020251">
      <w:pPr>
        <w:spacing w:line="240" w:lineRule="auto"/>
        <w:rPr>
          <w:rFonts w:ascii="Arial" w:hAnsi="Arial" w:cs="Arial"/>
          <w:b/>
          <w:sz w:val="20"/>
          <w:szCs w:val="20"/>
        </w:rPr>
      </w:pPr>
      <w:r w:rsidRPr="00E45CD5">
        <w:rPr>
          <w:rFonts w:ascii="Arial" w:hAnsi="Arial" w:cs="Arial"/>
          <w:b/>
          <w:sz w:val="20"/>
          <w:szCs w:val="20"/>
        </w:rPr>
        <w:t>Voorbeeld plagiaat 1.</w:t>
      </w:r>
    </w:p>
    <w:p w14:paraId="42D604BB" w14:textId="77777777" w:rsidR="00020251" w:rsidRPr="00E45CD5" w:rsidRDefault="00020251" w:rsidP="00020251">
      <w:pPr>
        <w:spacing w:line="240" w:lineRule="auto"/>
        <w:rPr>
          <w:rFonts w:ascii="Arial" w:hAnsi="Arial" w:cs="Arial"/>
          <w:sz w:val="20"/>
          <w:szCs w:val="20"/>
        </w:rPr>
      </w:pPr>
    </w:p>
    <w:p w14:paraId="27805499"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In tabel 1 zien we duidelijk dat zowel aantal partijen dat deelnam aan de verkiezingen als het effectief aantal electorale partijen tussen 1991 en 1994 stijgt om dan in 1998 weer lichtjes te dalen. Uit tabel 1 kan men ook afleiden dat het aandeel van de grootste partij tussen 1991 en 1994 afneemt, waardoor……</w:t>
      </w:r>
    </w:p>
    <w:p w14:paraId="013A432F" w14:textId="77777777" w:rsidR="00020251" w:rsidRPr="00E45CD5" w:rsidRDefault="00020251" w:rsidP="00020251">
      <w:pPr>
        <w:spacing w:line="240" w:lineRule="auto"/>
        <w:rPr>
          <w:rFonts w:ascii="Arial" w:hAnsi="Arial" w:cs="Arial"/>
          <w:sz w:val="20"/>
          <w:szCs w:val="20"/>
        </w:rPr>
      </w:pPr>
    </w:p>
    <w:p w14:paraId="33300E22" w14:textId="77777777" w:rsidR="00020251" w:rsidRPr="00E45CD5" w:rsidRDefault="00020251" w:rsidP="00020251">
      <w:pPr>
        <w:spacing w:line="240" w:lineRule="auto"/>
        <w:ind w:left="708"/>
        <w:rPr>
          <w:rFonts w:ascii="Arial" w:hAnsi="Arial" w:cs="Arial"/>
          <w:b/>
          <w:sz w:val="20"/>
          <w:szCs w:val="20"/>
        </w:rPr>
      </w:pPr>
      <w:r w:rsidRPr="00E45CD5">
        <w:rPr>
          <w:rFonts w:ascii="Arial" w:hAnsi="Arial" w:cs="Arial"/>
          <w:b/>
          <w:sz w:val="20"/>
          <w:szCs w:val="20"/>
        </w:rPr>
        <w:t>Fout: niet vermelden van de bron</w:t>
      </w:r>
    </w:p>
    <w:p w14:paraId="559B00B3" w14:textId="77777777" w:rsidR="00020251" w:rsidRPr="00E45CD5" w:rsidRDefault="00020251" w:rsidP="00020251">
      <w:pPr>
        <w:spacing w:line="240" w:lineRule="auto"/>
        <w:ind w:left="708"/>
        <w:rPr>
          <w:rFonts w:ascii="Arial" w:hAnsi="Arial" w:cs="Arial"/>
          <w:sz w:val="20"/>
          <w:szCs w:val="20"/>
        </w:rPr>
      </w:pPr>
    </w:p>
    <w:p w14:paraId="3676A9E8"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rPr>
        <w:t xml:space="preserve">Tabel 1. Verkiezingsuitslagen São Tomé </w:t>
      </w:r>
      <w:proofErr w:type="spellStart"/>
      <w:r w:rsidRPr="00E45CD5">
        <w:rPr>
          <w:rFonts w:ascii="Arial" w:hAnsi="Arial" w:cs="Arial"/>
          <w:sz w:val="20"/>
          <w:szCs w:val="20"/>
        </w:rPr>
        <w:t>and</w:t>
      </w:r>
      <w:proofErr w:type="spellEnd"/>
      <w:r w:rsidRPr="00E45CD5">
        <w:rPr>
          <w:rFonts w:ascii="Arial" w:hAnsi="Arial" w:cs="Arial"/>
          <w:sz w:val="20"/>
          <w:szCs w:val="20"/>
        </w:rPr>
        <w:t xml:space="preserve"> Principe</w:t>
      </w:r>
    </w:p>
    <w:p w14:paraId="01610765" w14:textId="77777777" w:rsidR="00020251" w:rsidRPr="00E45CD5" w:rsidRDefault="00020251" w:rsidP="00020251">
      <w:pPr>
        <w:spacing w:line="240" w:lineRule="auto"/>
        <w:rPr>
          <w:rFonts w:ascii="Arial" w:hAnsi="Arial" w:cs="Arial"/>
          <w:sz w:val="20"/>
          <w:szCs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25"/>
        <w:gridCol w:w="1123"/>
        <w:gridCol w:w="857"/>
        <w:gridCol w:w="1123"/>
        <w:gridCol w:w="677"/>
        <w:gridCol w:w="1123"/>
        <w:gridCol w:w="900"/>
      </w:tblGrid>
      <w:tr w:rsidR="00020251" w:rsidRPr="00E45CD5" w14:paraId="70FF7626" w14:textId="77777777" w:rsidTr="000071E5">
        <w:tc>
          <w:tcPr>
            <w:tcW w:w="2225" w:type="dxa"/>
            <w:shd w:val="clear" w:color="auto" w:fill="auto"/>
          </w:tcPr>
          <w:p w14:paraId="02656691"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Jaar</w:t>
            </w:r>
          </w:p>
        </w:tc>
        <w:tc>
          <w:tcPr>
            <w:tcW w:w="1123" w:type="dxa"/>
            <w:shd w:val="clear" w:color="auto" w:fill="auto"/>
          </w:tcPr>
          <w:p w14:paraId="071C76FD"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1991</w:t>
            </w:r>
          </w:p>
        </w:tc>
        <w:tc>
          <w:tcPr>
            <w:tcW w:w="857" w:type="dxa"/>
            <w:shd w:val="clear" w:color="auto" w:fill="auto"/>
          </w:tcPr>
          <w:p w14:paraId="6A0D6A43" w14:textId="77777777" w:rsidR="00020251" w:rsidRPr="00E45CD5" w:rsidRDefault="00020251" w:rsidP="000071E5">
            <w:pPr>
              <w:spacing w:line="240" w:lineRule="auto"/>
              <w:rPr>
                <w:rFonts w:ascii="Arial" w:hAnsi="Arial" w:cs="Arial"/>
                <w:b/>
                <w:sz w:val="20"/>
                <w:szCs w:val="20"/>
              </w:rPr>
            </w:pPr>
          </w:p>
        </w:tc>
        <w:tc>
          <w:tcPr>
            <w:tcW w:w="1123" w:type="dxa"/>
            <w:shd w:val="clear" w:color="auto" w:fill="auto"/>
          </w:tcPr>
          <w:p w14:paraId="1FB26D32"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1994</w:t>
            </w:r>
          </w:p>
        </w:tc>
        <w:tc>
          <w:tcPr>
            <w:tcW w:w="677" w:type="dxa"/>
            <w:shd w:val="clear" w:color="auto" w:fill="auto"/>
          </w:tcPr>
          <w:p w14:paraId="1B13E445" w14:textId="77777777" w:rsidR="00020251" w:rsidRPr="00E45CD5" w:rsidRDefault="00020251" w:rsidP="000071E5">
            <w:pPr>
              <w:spacing w:line="240" w:lineRule="auto"/>
              <w:rPr>
                <w:rFonts w:ascii="Arial" w:hAnsi="Arial" w:cs="Arial"/>
                <w:b/>
                <w:sz w:val="20"/>
                <w:szCs w:val="20"/>
              </w:rPr>
            </w:pPr>
          </w:p>
        </w:tc>
        <w:tc>
          <w:tcPr>
            <w:tcW w:w="1123" w:type="dxa"/>
            <w:shd w:val="clear" w:color="auto" w:fill="auto"/>
          </w:tcPr>
          <w:p w14:paraId="6528DB05"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1998</w:t>
            </w:r>
          </w:p>
        </w:tc>
        <w:tc>
          <w:tcPr>
            <w:tcW w:w="900" w:type="dxa"/>
            <w:shd w:val="clear" w:color="auto" w:fill="auto"/>
          </w:tcPr>
          <w:p w14:paraId="6B67323E" w14:textId="77777777" w:rsidR="00020251" w:rsidRPr="00E45CD5" w:rsidRDefault="00020251" w:rsidP="000071E5">
            <w:pPr>
              <w:spacing w:line="240" w:lineRule="auto"/>
              <w:rPr>
                <w:rFonts w:ascii="Arial" w:hAnsi="Arial" w:cs="Arial"/>
                <w:b/>
                <w:sz w:val="20"/>
                <w:szCs w:val="20"/>
              </w:rPr>
            </w:pPr>
          </w:p>
        </w:tc>
      </w:tr>
      <w:tr w:rsidR="00020251" w:rsidRPr="00E45CD5" w14:paraId="5D1391A3" w14:textId="77777777" w:rsidTr="000071E5">
        <w:tc>
          <w:tcPr>
            <w:tcW w:w="2225" w:type="dxa"/>
            <w:shd w:val="clear" w:color="auto" w:fill="auto"/>
          </w:tcPr>
          <w:p w14:paraId="136472F0"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0F9A20A8"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Totaal</w:t>
            </w:r>
          </w:p>
          <w:p w14:paraId="26E37AB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Stemmen</w:t>
            </w:r>
          </w:p>
        </w:tc>
        <w:tc>
          <w:tcPr>
            <w:tcW w:w="857" w:type="dxa"/>
            <w:shd w:val="clear" w:color="auto" w:fill="auto"/>
          </w:tcPr>
          <w:p w14:paraId="7FE876D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w:t>
            </w:r>
          </w:p>
        </w:tc>
        <w:tc>
          <w:tcPr>
            <w:tcW w:w="1123" w:type="dxa"/>
            <w:shd w:val="clear" w:color="auto" w:fill="auto"/>
          </w:tcPr>
          <w:p w14:paraId="1424935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Totaal</w:t>
            </w:r>
          </w:p>
          <w:p w14:paraId="5A362E86"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Stemmen</w:t>
            </w:r>
          </w:p>
        </w:tc>
        <w:tc>
          <w:tcPr>
            <w:tcW w:w="677" w:type="dxa"/>
            <w:shd w:val="clear" w:color="auto" w:fill="auto"/>
          </w:tcPr>
          <w:p w14:paraId="6BA3BF6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w:t>
            </w:r>
          </w:p>
        </w:tc>
        <w:tc>
          <w:tcPr>
            <w:tcW w:w="1123" w:type="dxa"/>
            <w:shd w:val="clear" w:color="auto" w:fill="auto"/>
          </w:tcPr>
          <w:p w14:paraId="03F3459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Totaal</w:t>
            </w:r>
          </w:p>
          <w:p w14:paraId="26C0692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Stemmen</w:t>
            </w:r>
          </w:p>
        </w:tc>
        <w:tc>
          <w:tcPr>
            <w:tcW w:w="900" w:type="dxa"/>
            <w:shd w:val="clear" w:color="auto" w:fill="auto"/>
          </w:tcPr>
          <w:p w14:paraId="3E8DB2D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w:t>
            </w:r>
          </w:p>
        </w:tc>
      </w:tr>
      <w:tr w:rsidR="00020251" w:rsidRPr="00E45CD5" w14:paraId="55793F07" w14:textId="77777777" w:rsidTr="000071E5">
        <w:tc>
          <w:tcPr>
            <w:tcW w:w="2225" w:type="dxa"/>
            <w:shd w:val="clear" w:color="auto" w:fill="auto"/>
          </w:tcPr>
          <w:p w14:paraId="52C713BF"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Geregistreerde kiezers</w:t>
            </w:r>
          </w:p>
        </w:tc>
        <w:tc>
          <w:tcPr>
            <w:tcW w:w="1123" w:type="dxa"/>
            <w:shd w:val="clear" w:color="auto" w:fill="auto"/>
          </w:tcPr>
          <w:p w14:paraId="3A4D780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51610</w:t>
            </w:r>
          </w:p>
        </w:tc>
        <w:tc>
          <w:tcPr>
            <w:tcW w:w="857" w:type="dxa"/>
            <w:shd w:val="clear" w:color="auto" w:fill="auto"/>
          </w:tcPr>
          <w:p w14:paraId="4903799E"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255D75A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55862</w:t>
            </w:r>
          </w:p>
        </w:tc>
        <w:tc>
          <w:tcPr>
            <w:tcW w:w="677" w:type="dxa"/>
            <w:shd w:val="clear" w:color="auto" w:fill="auto"/>
          </w:tcPr>
          <w:p w14:paraId="0D770D37"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2B42BB6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49639</w:t>
            </w:r>
          </w:p>
        </w:tc>
        <w:tc>
          <w:tcPr>
            <w:tcW w:w="900" w:type="dxa"/>
            <w:shd w:val="clear" w:color="auto" w:fill="auto"/>
          </w:tcPr>
          <w:p w14:paraId="3A1BBEF3" w14:textId="77777777" w:rsidR="00020251" w:rsidRPr="00E45CD5" w:rsidRDefault="00020251" w:rsidP="000071E5">
            <w:pPr>
              <w:spacing w:line="240" w:lineRule="auto"/>
              <w:rPr>
                <w:rFonts w:ascii="Arial" w:hAnsi="Arial" w:cs="Arial"/>
                <w:sz w:val="20"/>
                <w:szCs w:val="20"/>
              </w:rPr>
            </w:pPr>
          </w:p>
        </w:tc>
      </w:tr>
      <w:tr w:rsidR="00020251" w:rsidRPr="00E45CD5" w14:paraId="5A074F82" w14:textId="77777777" w:rsidTr="000071E5">
        <w:tc>
          <w:tcPr>
            <w:tcW w:w="2225" w:type="dxa"/>
            <w:shd w:val="clear" w:color="auto" w:fill="auto"/>
          </w:tcPr>
          <w:p w14:paraId="2773C5B6"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Uitgebrachte stemmen</w:t>
            </w:r>
          </w:p>
        </w:tc>
        <w:tc>
          <w:tcPr>
            <w:tcW w:w="1123" w:type="dxa"/>
            <w:shd w:val="clear" w:color="auto" w:fill="auto"/>
          </w:tcPr>
          <w:p w14:paraId="1F74AC9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39605</w:t>
            </w:r>
          </w:p>
        </w:tc>
        <w:tc>
          <w:tcPr>
            <w:tcW w:w="857" w:type="dxa"/>
            <w:shd w:val="clear" w:color="auto" w:fill="auto"/>
          </w:tcPr>
          <w:p w14:paraId="5A0EC02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77.1</w:t>
            </w:r>
          </w:p>
        </w:tc>
        <w:tc>
          <w:tcPr>
            <w:tcW w:w="1123" w:type="dxa"/>
            <w:shd w:val="clear" w:color="auto" w:fill="auto"/>
          </w:tcPr>
          <w:p w14:paraId="02EF609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29100</w:t>
            </w:r>
          </w:p>
        </w:tc>
        <w:tc>
          <w:tcPr>
            <w:tcW w:w="677" w:type="dxa"/>
            <w:shd w:val="clear" w:color="auto" w:fill="auto"/>
          </w:tcPr>
          <w:p w14:paraId="3458ECA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52.1</w:t>
            </w:r>
          </w:p>
        </w:tc>
        <w:tc>
          <w:tcPr>
            <w:tcW w:w="1123" w:type="dxa"/>
            <w:shd w:val="clear" w:color="auto" w:fill="auto"/>
          </w:tcPr>
          <w:p w14:paraId="527A8E5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32034</w:t>
            </w:r>
          </w:p>
        </w:tc>
        <w:tc>
          <w:tcPr>
            <w:tcW w:w="900" w:type="dxa"/>
            <w:shd w:val="clear" w:color="auto" w:fill="auto"/>
          </w:tcPr>
          <w:p w14:paraId="42B2A24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64.5</w:t>
            </w:r>
          </w:p>
        </w:tc>
      </w:tr>
      <w:tr w:rsidR="00020251" w:rsidRPr="00E45CD5" w14:paraId="35645BF6" w14:textId="77777777" w:rsidTr="000071E5">
        <w:tc>
          <w:tcPr>
            <w:tcW w:w="2225" w:type="dxa"/>
            <w:shd w:val="clear" w:color="auto" w:fill="auto"/>
          </w:tcPr>
          <w:p w14:paraId="65821B6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Ongeldige stemmen</w:t>
            </w:r>
          </w:p>
        </w:tc>
        <w:tc>
          <w:tcPr>
            <w:tcW w:w="1123" w:type="dxa"/>
            <w:shd w:val="clear" w:color="auto" w:fill="auto"/>
          </w:tcPr>
          <w:p w14:paraId="4B61E47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3171</w:t>
            </w:r>
          </w:p>
        </w:tc>
        <w:tc>
          <w:tcPr>
            <w:tcW w:w="857" w:type="dxa"/>
            <w:shd w:val="clear" w:color="auto" w:fill="auto"/>
          </w:tcPr>
          <w:p w14:paraId="0587270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8.0</w:t>
            </w:r>
          </w:p>
        </w:tc>
        <w:tc>
          <w:tcPr>
            <w:tcW w:w="1123" w:type="dxa"/>
            <w:shd w:val="clear" w:color="auto" w:fill="auto"/>
          </w:tcPr>
          <w:p w14:paraId="2CF0803F"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3748</w:t>
            </w:r>
          </w:p>
        </w:tc>
        <w:tc>
          <w:tcPr>
            <w:tcW w:w="677" w:type="dxa"/>
            <w:shd w:val="clear" w:color="auto" w:fill="auto"/>
          </w:tcPr>
          <w:p w14:paraId="2174C8C8"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12.9</w:t>
            </w:r>
          </w:p>
        </w:tc>
        <w:tc>
          <w:tcPr>
            <w:tcW w:w="1123" w:type="dxa"/>
            <w:shd w:val="clear" w:color="auto" w:fill="auto"/>
          </w:tcPr>
          <w:p w14:paraId="1847569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2951</w:t>
            </w:r>
          </w:p>
        </w:tc>
        <w:tc>
          <w:tcPr>
            <w:tcW w:w="900" w:type="dxa"/>
            <w:shd w:val="clear" w:color="auto" w:fill="auto"/>
          </w:tcPr>
          <w:p w14:paraId="03D249C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9.2</w:t>
            </w:r>
          </w:p>
        </w:tc>
      </w:tr>
      <w:tr w:rsidR="00020251" w:rsidRPr="00E45CD5" w14:paraId="568F8BFC" w14:textId="77777777" w:rsidTr="000071E5">
        <w:tc>
          <w:tcPr>
            <w:tcW w:w="2225" w:type="dxa"/>
            <w:shd w:val="clear" w:color="auto" w:fill="auto"/>
          </w:tcPr>
          <w:p w14:paraId="6628C6F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Geldige stemmen</w:t>
            </w:r>
          </w:p>
        </w:tc>
        <w:tc>
          <w:tcPr>
            <w:tcW w:w="1123" w:type="dxa"/>
            <w:shd w:val="clear" w:color="auto" w:fill="auto"/>
          </w:tcPr>
          <w:p w14:paraId="45656FA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36434</w:t>
            </w:r>
          </w:p>
        </w:tc>
        <w:tc>
          <w:tcPr>
            <w:tcW w:w="857" w:type="dxa"/>
            <w:shd w:val="clear" w:color="auto" w:fill="auto"/>
          </w:tcPr>
          <w:p w14:paraId="5F78706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92.0</w:t>
            </w:r>
          </w:p>
        </w:tc>
        <w:tc>
          <w:tcPr>
            <w:tcW w:w="1123" w:type="dxa"/>
            <w:shd w:val="clear" w:color="auto" w:fill="auto"/>
          </w:tcPr>
          <w:p w14:paraId="2A7CA4A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25352</w:t>
            </w:r>
          </w:p>
        </w:tc>
        <w:tc>
          <w:tcPr>
            <w:tcW w:w="677" w:type="dxa"/>
            <w:shd w:val="clear" w:color="auto" w:fill="auto"/>
          </w:tcPr>
          <w:p w14:paraId="0AC5DCA9"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87.1</w:t>
            </w:r>
          </w:p>
        </w:tc>
        <w:tc>
          <w:tcPr>
            <w:tcW w:w="1123" w:type="dxa"/>
            <w:shd w:val="clear" w:color="auto" w:fill="auto"/>
          </w:tcPr>
          <w:p w14:paraId="63AEFD2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29083</w:t>
            </w:r>
          </w:p>
        </w:tc>
        <w:tc>
          <w:tcPr>
            <w:tcW w:w="900" w:type="dxa"/>
            <w:shd w:val="clear" w:color="auto" w:fill="auto"/>
          </w:tcPr>
          <w:p w14:paraId="4B31F4F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90.8</w:t>
            </w:r>
          </w:p>
        </w:tc>
      </w:tr>
      <w:tr w:rsidR="00020251" w:rsidRPr="00E45CD5" w14:paraId="67D13724" w14:textId="77777777" w:rsidTr="000071E5">
        <w:tc>
          <w:tcPr>
            <w:tcW w:w="2225" w:type="dxa"/>
            <w:shd w:val="clear" w:color="auto" w:fill="auto"/>
          </w:tcPr>
          <w:p w14:paraId="5BFA1DB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MLSTP-PSD</w:t>
            </w:r>
          </w:p>
        </w:tc>
        <w:tc>
          <w:tcPr>
            <w:tcW w:w="1123" w:type="dxa"/>
            <w:shd w:val="clear" w:color="auto" w:fill="auto"/>
          </w:tcPr>
          <w:p w14:paraId="2553915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12090</w:t>
            </w:r>
          </w:p>
        </w:tc>
        <w:tc>
          <w:tcPr>
            <w:tcW w:w="857" w:type="dxa"/>
            <w:shd w:val="clear" w:color="auto" w:fill="auto"/>
          </w:tcPr>
          <w:p w14:paraId="11FA5FA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30.5</w:t>
            </w:r>
          </w:p>
        </w:tc>
        <w:tc>
          <w:tcPr>
            <w:tcW w:w="1123" w:type="dxa"/>
            <w:shd w:val="clear" w:color="auto" w:fill="auto"/>
          </w:tcPr>
          <w:p w14:paraId="4D33C52F"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10782</w:t>
            </w:r>
          </w:p>
        </w:tc>
        <w:tc>
          <w:tcPr>
            <w:tcW w:w="677" w:type="dxa"/>
            <w:shd w:val="clear" w:color="auto" w:fill="auto"/>
          </w:tcPr>
          <w:p w14:paraId="5620752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42.5</w:t>
            </w:r>
          </w:p>
        </w:tc>
        <w:tc>
          <w:tcPr>
            <w:tcW w:w="1123" w:type="dxa"/>
            <w:shd w:val="clear" w:color="auto" w:fill="auto"/>
          </w:tcPr>
          <w:p w14:paraId="363BA4F9"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14785</w:t>
            </w:r>
          </w:p>
        </w:tc>
        <w:tc>
          <w:tcPr>
            <w:tcW w:w="900" w:type="dxa"/>
            <w:shd w:val="clear" w:color="auto" w:fill="auto"/>
          </w:tcPr>
          <w:p w14:paraId="2934C0B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50.8</w:t>
            </w:r>
          </w:p>
        </w:tc>
      </w:tr>
      <w:tr w:rsidR="00020251" w:rsidRPr="00E45CD5" w14:paraId="59E058E3" w14:textId="77777777" w:rsidTr="000071E5">
        <w:tc>
          <w:tcPr>
            <w:tcW w:w="2225" w:type="dxa"/>
            <w:shd w:val="clear" w:color="auto" w:fill="auto"/>
          </w:tcPr>
          <w:p w14:paraId="603D4F0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ADI</w:t>
            </w:r>
          </w:p>
        </w:tc>
        <w:tc>
          <w:tcPr>
            <w:tcW w:w="1123" w:type="dxa"/>
            <w:shd w:val="clear" w:color="auto" w:fill="auto"/>
          </w:tcPr>
          <w:p w14:paraId="2B0E5993"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608F2A8D"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6F604E5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6660</w:t>
            </w:r>
          </w:p>
        </w:tc>
        <w:tc>
          <w:tcPr>
            <w:tcW w:w="677" w:type="dxa"/>
            <w:shd w:val="clear" w:color="auto" w:fill="auto"/>
          </w:tcPr>
          <w:p w14:paraId="5CAB629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26.3</w:t>
            </w:r>
          </w:p>
        </w:tc>
        <w:tc>
          <w:tcPr>
            <w:tcW w:w="1123" w:type="dxa"/>
            <w:shd w:val="clear" w:color="auto" w:fill="auto"/>
          </w:tcPr>
          <w:p w14:paraId="35F2DB4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8222</w:t>
            </w:r>
          </w:p>
        </w:tc>
        <w:tc>
          <w:tcPr>
            <w:tcW w:w="900" w:type="dxa"/>
            <w:shd w:val="clear" w:color="auto" w:fill="auto"/>
          </w:tcPr>
          <w:p w14:paraId="40D22B9F"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28.3</w:t>
            </w:r>
          </w:p>
        </w:tc>
      </w:tr>
      <w:tr w:rsidR="00020251" w:rsidRPr="00E45CD5" w14:paraId="17CA181F" w14:textId="77777777" w:rsidTr="000071E5">
        <w:tc>
          <w:tcPr>
            <w:tcW w:w="2225" w:type="dxa"/>
            <w:shd w:val="clear" w:color="auto" w:fill="auto"/>
          </w:tcPr>
          <w:p w14:paraId="0EBEEC69"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PCD-GR</w:t>
            </w:r>
          </w:p>
        </w:tc>
        <w:tc>
          <w:tcPr>
            <w:tcW w:w="1123" w:type="dxa"/>
            <w:shd w:val="clear" w:color="auto" w:fill="auto"/>
          </w:tcPr>
          <w:p w14:paraId="4D8039D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21535</w:t>
            </w:r>
          </w:p>
        </w:tc>
        <w:tc>
          <w:tcPr>
            <w:tcW w:w="857" w:type="dxa"/>
            <w:shd w:val="clear" w:color="auto" w:fill="auto"/>
          </w:tcPr>
          <w:p w14:paraId="4B386BD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54.4</w:t>
            </w:r>
          </w:p>
        </w:tc>
        <w:tc>
          <w:tcPr>
            <w:tcW w:w="1123" w:type="dxa"/>
            <w:shd w:val="clear" w:color="auto" w:fill="auto"/>
          </w:tcPr>
          <w:p w14:paraId="4E8EC6F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6235</w:t>
            </w:r>
          </w:p>
        </w:tc>
        <w:tc>
          <w:tcPr>
            <w:tcW w:w="677" w:type="dxa"/>
            <w:shd w:val="clear" w:color="auto" w:fill="auto"/>
          </w:tcPr>
          <w:p w14:paraId="5672D43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24.6</w:t>
            </w:r>
          </w:p>
        </w:tc>
        <w:tc>
          <w:tcPr>
            <w:tcW w:w="1123" w:type="dxa"/>
            <w:shd w:val="clear" w:color="auto" w:fill="auto"/>
          </w:tcPr>
          <w:p w14:paraId="0E44BC9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4667</w:t>
            </w:r>
          </w:p>
        </w:tc>
        <w:tc>
          <w:tcPr>
            <w:tcW w:w="900" w:type="dxa"/>
            <w:shd w:val="clear" w:color="auto" w:fill="auto"/>
          </w:tcPr>
          <w:p w14:paraId="7E04C36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16.0</w:t>
            </w:r>
          </w:p>
        </w:tc>
      </w:tr>
      <w:tr w:rsidR="00020251" w:rsidRPr="00E45CD5" w14:paraId="5571401D" w14:textId="77777777" w:rsidTr="000071E5">
        <w:tc>
          <w:tcPr>
            <w:tcW w:w="2225" w:type="dxa"/>
            <w:shd w:val="clear" w:color="auto" w:fill="auto"/>
          </w:tcPr>
          <w:p w14:paraId="3F0C29E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CODO</w:t>
            </w:r>
          </w:p>
        </w:tc>
        <w:tc>
          <w:tcPr>
            <w:tcW w:w="1123" w:type="dxa"/>
            <w:shd w:val="clear" w:color="auto" w:fill="auto"/>
          </w:tcPr>
          <w:p w14:paraId="50B0C8E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2071</w:t>
            </w:r>
          </w:p>
        </w:tc>
        <w:tc>
          <w:tcPr>
            <w:tcW w:w="857" w:type="dxa"/>
            <w:shd w:val="clear" w:color="auto" w:fill="auto"/>
          </w:tcPr>
          <w:p w14:paraId="29173588"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5.2</w:t>
            </w:r>
          </w:p>
        </w:tc>
        <w:tc>
          <w:tcPr>
            <w:tcW w:w="1123" w:type="dxa"/>
            <w:shd w:val="clear" w:color="auto" w:fill="auto"/>
          </w:tcPr>
          <w:p w14:paraId="7A6D7B6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1152</w:t>
            </w:r>
          </w:p>
        </w:tc>
        <w:tc>
          <w:tcPr>
            <w:tcW w:w="677" w:type="dxa"/>
            <w:shd w:val="clear" w:color="auto" w:fill="auto"/>
          </w:tcPr>
          <w:p w14:paraId="5524AFF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4.5</w:t>
            </w:r>
          </w:p>
        </w:tc>
        <w:tc>
          <w:tcPr>
            <w:tcW w:w="1123" w:type="dxa"/>
            <w:shd w:val="clear" w:color="auto" w:fill="auto"/>
          </w:tcPr>
          <w:p w14:paraId="7B80109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483</w:t>
            </w:r>
          </w:p>
        </w:tc>
        <w:tc>
          <w:tcPr>
            <w:tcW w:w="900" w:type="dxa"/>
            <w:shd w:val="clear" w:color="auto" w:fill="auto"/>
          </w:tcPr>
          <w:p w14:paraId="7B0A4E78"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1.7</w:t>
            </w:r>
          </w:p>
        </w:tc>
      </w:tr>
      <w:tr w:rsidR="00020251" w:rsidRPr="00E45CD5" w14:paraId="5818878A" w14:textId="77777777" w:rsidTr="000071E5">
        <w:tc>
          <w:tcPr>
            <w:tcW w:w="2225" w:type="dxa"/>
            <w:shd w:val="clear" w:color="auto" w:fill="auto"/>
          </w:tcPr>
          <w:p w14:paraId="74B56F6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AP</w:t>
            </w:r>
          </w:p>
        </w:tc>
        <w:tc>
          <w:tcPr>
            <w:tcW w:w="1123" w:type="dxa"/>
            <w:shd w:val="clear" w:color="auto" w:fill="auto"/>
          </w:tcPr>
          <w:p w14:paraId="6F7EA3B8"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685BAEC5"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204CAF2F"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342</w:t>
            </w:r>
          </w:p>
        </w:tc>
        <w:tc>
          <w:tcPr>
            <w:tcW w:w="677" w:type="dxa"/>
            <w:shd w:val="clear" w:color="auto" w:fill="auto"/>
          </w:tcPr>
          <w:p w14:paraId="38E95BF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1.4</w:t>
            </w:r>
          </w:p>
        </w:tc>
        <w:tc>
          <w:tcPr>
            <w:tcW w:w="1123" w:type="dxa"/>
            <w:shd w:val="clear" w:color="auto" w:fill="auto"/>
          </w:tcPr>
          <w:p w14:paraId="6B79EDE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183</w:t>
            </w:r>
          </w:p>
        </w:tc>
        <w:tc>
          <w:tcPr>
            <w:tcW w:w="900" w:type="dxa"/>
            <w:shd w:val="clear" w:color="auto" w:fill="auto"/>
          </w:tcPr>
          <w:p w14:paraId="3FA92C6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0.6</w:t>
            </w:r>
          </w:p>
        </w:tc>
      </w:tr>
      <w:tr w:rsidR="00020251" w:rsidRPr="00E45CD5" w14:paraId="43802AD4" w14:textId="77777777" w:rsidTr="000071E5">
        <w:tc>
          <w:tcPr>
            <w:tcW w:w="2225" w:type="dxa"/>
            <w:shd w:val="clear" w:color="auto" w:fill="auto"/>
          </w:tcPr>
          <w:p w14:paraId="40148E1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FDC</w:t>
            </w:r>
          </w:p>
        </w:tc>
        <w:tc>
          <w:tcPr>
            <w:tcW w:w="1123" w:type="dxa"/>
            <w:shd w:val="clear" w:color="auto" w:fill="auto"/>
          </w:tcPr>
          <w:p w14:paraId="6F9C5488"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598</w:t>
            </w:r>
          </w:p>
        </w:tc>
        <w:tc>
          <w:tcPr>
            <w:tcW w:w="857" w:type="dxa"/>
            <w:shd w:val="clear" w:color="auto" w:fill="auto"/>
          </w:tcPr>
          <w:p w14:paraId="5B63E47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1.5</w:t>
            </w:r>
          </w:p>
        </w:tc>
        <w:tc>
          <w:tcPr>
            <w:tcW w:w="1123" w:type="dxa"/>
            <w:shd w:val="clear" w:color="auto" w:fill="auto"/>
          </w:tcPr>
          <w:p w14:paraId="22414549"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181</w:t>
            </w:r>
          </w:p>
        </w:tc>
        <w:tc>
          <w:tcPr>
            <w:tcW w:w="677" w:type="dxa"/>
            <w:shd w:val="clear" w:color="auto" w:fill="auto"/>
          </w:tcPr>
          <w:p w14:paraId="3D0BCC0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0.7</w:t>
            </w:r>
          </w:p>
        </w:tc>
        <w:tc>
          <w:tcPr>
            <w:tcW w:w="1123" w:type="dxa"/>
            <w:shd w:val="clear" w:color="auto" w:fill="auto"/>
          </w:tcPr>
          <w:p w14:paraId="089DE49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156</w:t>
            </w:r>
          </w:p>
        </w:tc>
        <w:tc>
          <w:tcPr>
            <w:tcW w:w="900" w:type="dxa"/>
            <w:shd w:val="clear" w:color="auto" w:fill="auto"/>
          </w:tcPr>
          <w:p w14:paraId="2C57E886"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0.5</w:t>
            </w:r>
          </w:p>
        </w:tc>
      </w:tr>
      <w:tr w:rsidR="00020251" w:rsidRPr="00E45CD5" w14:paraId="499A8DCF" w14:textId="77777777" w:rsidTr="000071E5">
        <w:tc>
          <w:tcPr>
            <w:tcW w:w="2225" w:type="dxa"/>
            <w:shd w:val="clear" w:color="auto" w:fill="auto"/>
          </w:tcPr>
          <w:p w14:paraId="26F7F22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UNDP</w:t>
            </w:r>
          </w:p>
        </w:tc>
        <w:tc>
          <w:tcPr>
            <w:tcW w:w="1123" w:type="dxa"/>
            <w:shd w:val="clear" w:color="auto" w:fill="auto"/>
          </w:tcPr>
          <w:p w14:paraId="1112055C"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7B645490"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530D16B7" w14:textId="77777777" w:rsidR="00020251" w:rsidRPr="00E45CD5" w:rsidRDefault="00020251" w:rsidP="000071E5">
            <w:pPr>
              <w:spacing w:line="240" w:lineRule="auto"/>
              <w:rPr>
                <w:rFonts w:ascii="Arial" w:hAnsi="Arial" w:cs="Arial"/>
                <w:sz w:val="20"/>
                <w:szCs w:val="20"/>
              </w:rPr>
            </w:pPr>
          </w:p>
        </w:tc>
        <w:tc>
          <w:tcPr>
            <w:tcW w:w="677" w:type="dxa"/>
            <w:shd w:val="clear" w:color="auto" w:fill="auto"/>
          </w:tcPr>
          <w:p w14:paraId="382D54CE"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3E1B330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363</w:t>
            </w:r>
          </w:p>
        </w:tc>
        <w:tc>
          <w:tcPr>
            <w:tcW w:w="900" w:type="dxa"/>
            <w:shd w:val="clear" w:color="auto" w:fill="auto"/>
          </w:tcPr>
          <w:p w14:paraId="3480BB3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1.2</w:t>
            </w:r>
          </w:p>
        </w:tc>
      </w:tr>
      <w:tr w:rsidR="00020251" w:rsidRPr="00E45CD5" w14:paraId="213F8B01" w14:textId="77777777" w:rsidTr="000071E5">
        <w:tc>
          <w:tcPr>
            <w:tcW w:w="2225" w:type="dxa"/>
            <w:shd w:val="clear" w:color="auto" w:fill="auto"/>
          </w:tcPr>
          <w:p w14:paraId="493F28D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PPP</w:t>
            </w:r>
          </w:p>
        </w:tc>
        <w:tc>
          <w:tcPr>
            <w:tcW w:w="1123" w:type="dxa"/>
            <w:shd w:val="clear" w:color="auto" w:fill="auto"/>
          </w:tcPr>
          <w:p w14:paraId="170DEC57"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0C30763D"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3A34B137" w14:textId="77777777" w:rsidR="00020251" w:rsidRPr="00E45CD5" w:rsidRDefault="00020251" w:rsidP="000071E5">
            <w:pPr>
              <w:spacing w:line="240" w:lineRule="auto"/>
              <w:rPr>
                <w:rFonts w:ascii="Arial" w:hAnsi="Arial" w:cs="Arial"/>
                <w:sz w:val="20"/>
                <w:szCs w:val="20"/>
              </w:rPr>
            </w:pPr>
          </w:p>
        </w:tc>
        <w:tc>
          <w:tcPr>
            <w:tcW w:w="677" w:type="dxa"/>
            <w:shd w:val="clear" w:color="auto" w:fill="auto"/>
          </w:tcPr>
          <w:p w14:paraId="127F6785"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3CB3194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334</w:t>
            </w:r>
          </w:p>
        </w:tc>
        <w:tc>
          <w:tcPr>
            <w:tcW w:w="900" w:type="dxa"/>
            <w:shd w:val="clear" w:color="auto" w:fill="auto"/>
          </w:tcPr>
          <w:p w14:paraId="3DDEA3D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1.1</w:t>
            </w:r>
          </w:p>
        </w:tc>
      </w:tr>
      <w:tr w:rsidR="00020251" w:rsidRPr="00E45CD5" w14:paraId="7F450ADD" w14:textId="77777777" w:rsidTr="000071E5">
        <w:tc>
          <w:tcPr>
            <w:tcW w:w="2225" w:type="dxa"/>
            <w:shd w:val="clear" w:color="auto" w:fill="auto"/>
          </w:tcPr>
          <w:p w14:paraId="1DC4656E"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NS (effectief aantal electorale partijen)</w:t>
            </w:r>
          </w:p>
        </w:tc>
        <w:tc>
          <w:tcPr>
            <w:tcW w:w="1123" w:type="dxa"/>
            <w:shd w:val="clear" w:color="auto" w:fill="auto"/>
          </w:tcPr>
          <w:p w14:paraId="1273EC0E"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1.52</w:t>
            </w:r>
          </w:p>
        </w:tc>
        <w:tc>
          <w:tcPr>
            <w:tcW w:w="857" w:type="dxa"/>
            <w:shd w:val="clear" w:color="auto" w:fill="auto"/>
          </w:tcPr>
          <w:p w14:paraId="04338651" w14:textId="77777777" w:rsidR="00020251" w:rsidRPr="00E45CD5" w:rsidRDefault="00020251" w:rsidP="000071E5">
            <w:pPr>
              <w:spacing w:line="240" w:lineRule="auto"/>
              <w:rPr>
                <w:rFonts w:ascii="Arial" w:hAnsi="Arial" w:cs="Arial"/>
                <w:i/>
                <w:sz w:val="20"/>
                <w:szCs w:val="20"/>
              </w:rPr>
            </w:pPr>
          </w:p>
        </w:tc>
        <w:tc>
          <w:tcPr>
            <w:tcW w:w="1123" w:type="dxa"/>
            <w:shd w:val="clear" w:color="auto" w:fill="auto"/>
          </w:tcPr>
          <w:p w14:paraId="47B491DD"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3,20</w:t>
            </w:r>
          </w:p>
        </w:tc>
        <w:tc>
          <w:tcPr>
            <w:tcW w:w="677" w:type="dxa"/>
            <w:shd w:val="clear" w:color="auto" w:fill="auto"/>
          </w:tcPr>
          <w:p w14:paraId="754CAD37" w14:textId="77777777" w:rsidR="00020251" w:rsidRPr="00E45CD5" w:rsidRDefault="00020251" w:rsidP="000071E5">
            <w:pPr>
              <w:spacing w:line="240" w:lineRule="auto"/>
              <w:rPr>
                <w:rFonts w:ascii="Arial" w:hAnsi="Arial" w:cs="Arial"/>
                <w:i/>
                <w:sz w:val="20"/>
                <w:szCs w:val="20"/>
              </w:rPr>
            </w:pPr>
          </w:p>
        </w:tc>
        <w:tc>
          <w:tcPr>
            <w:tcW w:w="1123" w:type="dxa"/>
            <w:shd w:val="clear" w:color="auto" w:fill="auto"/>
          </w:tcPr>
          <w:p w14:paraId="199E0055"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2,74</w:t>
            </w:r>
          </w:p>
        </w:tc>
        <w:tc>
          <w:tcPr>
            <w:tcW w:w="900" w:type="dxa"/>
            <w:shd w:val="clear" w:color="auto" w:fill="auto"/>
          </w:tcPr>
          <w:p w14:paraId="5D7F7F57" w14:textId="77777777" w:rsidR="00020251" w:rsidRPr="00E45CD5" w:rsidRDefault="00020251" w:rsidP="000071E5">
            <w:pPr>
              <w:spacing w:line="240" w:lineRule="auto"/>
              <w:rPr>
                <w:rFonts w:ascii="Arial" w:hAnsi="Arial" w:cs="Arial"/>
                <w:i/>
                <w:sz w:val="20"/>
                <w:szCs w:val="20"/>
              </w:rPr>
            </w:pPr>
          </w:p>
        </w:tc>
      </w:tr>
    </w:tbl>
    <w:p w14:paraId="16BEAD75" w14:textId="77777777" w:rsidR="00020251" w:rsidRPr="00E45CD5" w:rsidRDefault="00020251" w:rsidP="00020251">
      <w:pPr>
        <w:spacing w:line="240" w:lineRule="auto"/>
        <w:ind w:left="708"/>
        <w:rPr>
          <w:rFonts w:ascii="Arial" w:hAnsi="Arial" w:cs="Arial"/>
          <w:sz w:val="20"/>
          <w:szCs w:val="20"/>
        </w:rPr>
      </w:pPr>
    </w:p>
    <w:p w14:paraId="2C112E02" w14:textId="77777777" w:rsidR="00020251" w:rsidRPr="00E45CD5" w:rsidRDefault="00020251" w:rsidP="00020251">
      <w:pPr>
        <w:spacing w:line="240" w:lineRule="auto"/>
        <w:rPr>
          <w:rFonts w:ascii="Arial" w:hAnsi="Arial" w:cs="Arial"/>
          <w:b/>
          <w:sz w:val="20"/>
          <w:szCs w:val="20"/>
        </w:rPr>
      </w:pPr>
      <w:r w:rsidRPr="00E45CD5">
        <w:rPr>
          <w:rFonts w:ascii="Arial" w:hAnsi="Arial" w:cs="Arial"/>
          <w:b/>
          <w:sz w:val="20"/>
          <w:szCs w:val="20"/>
        </w:rPr>
        <w:t>Voorbeeld plagiaat 2</w:t>
      </w:r>
    </w:p>
    <w:p w14:paraId="2A1EC7AA" w14:textId="77777777" w:rsidR="00020251" w:rsidRPr="00E45CD5" w:rsidRDefault="00020251" w:rsidP="00020251">
      <w:pPr>
        <w:spacing w:line="240" w:lineRule="auto"/>
        <w:rPr>
          <w:rFonts w:ascii="Arial" w:hAnsi="Arial" w:cs="Arial"/>
          <w:sz w:val="20"/>
          <w:szCs w:val="20"/>
        </w:rPr>
      </w:pPr>
    </w:p>
    <w:p w14:paraId="79DE7C6D"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 xml:space="preserve">In tabel 1 kan een overzicht worden gevonden van de door ons verzamelde verkiezingsdata voor de parlementsverkiezingen in São Tomé </w:t>
      </w:r>
      <w:proofErr w:type="spellStart"/>
      <w:r w:rsidRPr="00E45CD5">
        <w:rPr>
          <w:rFonts w:ascii="Arial" w:hAnsi="Arial" w:cs="Arial"/>
          <w:sz w:val="20"/>
          <w:szCs w:val="20"/>
        </w:rPr>
        <w:t>and</w:t>
      </w:r>
      <w:proofErr w:type="spellEnd"/>
      <w:r w:rsidRPr="00E45CD5">
        <w:rPr>
          <w:rFonts w:ascii="Arial" w:hAnsi="Arial" w:cs="Arial"/>
          <w:sz w:val="20"/>
          <w:szCs w:val="20"/>
        </w:rPr>
        <w:t xml:space="preserve"> Principe. In tabel 1 zien we duidelijk dat zowel aantal partijen dat deelnam aan de verkiezingen als het effectief aantal electorale partijen tussen 1991 en 1994 stijgt om dan in 1998 weer lichtjes te dalen. Uit tabel 1 kan men ook afleiden dat het aandeel van de grootste partij tussen 1991 en 1994 afneemt, waardoor</w:t>
      </w:r>
    </w:p>
    <w:p w14:paraId="67586039" w14:textId="77777777" w:rsidR="00020251" w:rsidRPr="00E45CD5" w:rsidRDefault="00020251" w:rsidP="00020251">
      <w:pPr>
        <w:spacing w:line="240" w:lineRule="auto"/>
        <w:rPr>
          <w:rFonts w:ascii="Arial" w:hAnsi="Arial" w:cs="Arial"/>
          <w:sz w:val="20"/>
          <w:szCs w:val="20"/>
        </w:rPr>
      </w:pPr>
    </w:p>
    <w:p w14:paraId="44706A03" w14:textId="77777777" w:rsidR="00020251" w:rsidRPr="00E45CD5" w:rsidRDefault="00020251" w:rsidP="00020251">
      <w:pPr>
        <w:spacing w:line="240" w:lineRule="auto"/>
        <w:ind w:left="708"/>
        <w:rPr>
          <w:rFonts w:ascii="Arial" w:hAnsi="Arial" w:cs="Arial"/>
          <w:b/>
          <w:sz w:val="20"/>
          <w:szCs w:val="20"/>
        </w:rPr>
      </w:pPr>
      <w:r w:rsidRPr="00E45CD5">
        <w:rPr>
          <w:rFonts w:ascii="Arial" w:hAnsi="Arial" w:cs="Arial"/>
          <w:b/>
          <w:sz w:val="20"/>
          <w:szCs w:val="20"/>
        </w:rPr>
        <w:t>Fout: niet vermelden van de bron en suggereren dat men de data zelf heeft verzameld.</w:t>
      </w:r>
    </w:p>
    <w:p w14:paraId="279FBFDF" w14:textId="77777777" w:rsidR="00020251" w:rsidRPr="00E45CD5" w:rsidRDefault="00020251" w:rsidP="00020251">
      <w:pPr>
        <w:spacing w:line="240" w:lineRule="auto"/>
        <w:rPr>
          <w:rFonts w:ascii="Arial" w:hAnsi="Arial" w:cs="Arial"/>
          <w:sz w:val="20"/>
          <w:szCs w:val="20"/>
        </w:rPr>
      </w:pPr>
    </w:p>
    <w:p w14:paraId="36908C21"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rPr>
        <w:br w:type="page"/>
      </w:r>
      <w:r w:rsidRPr="00E45CD5">
        <w:rPr>
          <w:rFonts w:ascii="Arial" w:hAnsi="Arial" w:cs="Arial"/>
          <w:sz w:val="20"/>
          <w:szCs w:val="20"/>
        </w:rPr>
        <w:lastRenderedPageBreak/>
        <w:t xml:space="preserve">Tabel 1. Verkiezingsuitslagen São Tomé </w:t>
      </w:r>
      <w:proofErr w:type="spellStart"/>
      <w:r w:rsidRPr="00E45CD5">
        <w:rPr>
          <w:rFonts w:ascii="Arial" w:hAnsi="Arial" w:cs="Arial"/>
          <w:sz w:val="20"/>
          <w:szCs w:val="20"/>
        </w:rPr>
        <w:t>and</w:t>
      </w:r>
      <w:proofErr w:type="spellEnd"/>
      <w:r w:rsidRPr="00E45CD5">
        <w:rPr>
          <w:rFonts w:ascii="Arial" w:hAnsi="Arial" w:cs="Arial"/>
          <w:sz w:val="20"/>
          <w:szCs w:val="20"/>
        </w:rPr>
        <w:t xml:space="preserve"> Principe</w:t>
      </w:r>
    </w:p>
    <w:p w14:paraId="625C97B7" w14:textId="77777777" w:rsidR="00020251" w:rsidRPr="00E45CD5" w:rsidRDefault="00020251" w:rsidP="00020251">
      <w:pPr>
        <w:spacing w:line="240" w:lineRule="auto"/>
        <w:rPr>
          <w:rFonts w:ascii="Arial" w:hAnsi="Arial" w:cs="Arial"/>
          <w:sz w:val="20"/>
          <w:szCs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25"/>
        <w:gridCol w:w="1123"/>
        <w:gridCol w:w="857"/>
        <w:gridCol w:w="1123"/>
        <w:gridCol w:w="677"/>
        <w:gridCol w:w="1123"/>
        <w:gridCol w:w="900"/>
      </w:tblGrid>
      <w:tr w:rsidR="00020251" w:rsidRPr="00E45CD5" w14:paraId="069A3239" w14:textId="77777777" w:rsidTr="000071E5">
        <w:tc>
          <w:tcPr>
            <w:tcW w:w="2225" w:type="dxa"/>
            <w:shd w:val="clear" w:color="auto" w:fill="auto"/>
          </w:tcPr>
          <w:p w14:paraId="15353D7F"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Jaar</w:t>
            </w:r>
          </w:p>
        </w:tc>
        <w:tc>
          <w:tcPr>
            <w:tcW w:w="1123" w:type="dxa"/>
            <w:shd w:val="clear" w:color="auto" w:fill="auto"/>
          </w:tcPr>
          <w:p w14:paraId="3684E7D6"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1991</w:t>
            </w:r>
          </w:p>
        </w:tc>
        <w:tc>
          <w:tcPr>
            <w:tcW w:w="857" w:type="dxa"/>
            <w:shd w:val="clear" w:color="auto" w:fill="auto"/>
          </w:tcPr>
          <w:p w14:paraId="23BEC726" w14:textId="77777777" w:rsidR="00020251" w:rsidRPr="00E45CD5" w:rsidRDefault="00020251" w:rsidP="000071E5">
            <w:pPr>
              <w:spacing w:line="240" w:lineRule="auto"/>
              <w:rPr>
                <w:rFonts w:ascii="Arial" w:hAnsi="Arial" w:cs="Arial"/>
                <w:b/>
                <w:sz w:val="20"/>
                <w:szCs w:val="20"/>
              </w:rPr>
            </w:pPr>
          </w:p>
        </w:tc>
        <w:tc>
          <w:tcPr>
            <w:tcW w:w="1123" w:type="dxa"/>
            <w:shd w:val="clear" w:color="auto" w:fill="auto"/>
          </w:tcPr>
          <w:p w14:paraId="68EABE71"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1994</w:t>
            </w:r>
          </w:p>
        </w:tc>
        <w:tc>
          <w:tcPr>
            <w:tcW w:w="677" w:type="dxa"/>
            <w:shd w:val="clear" w:color="auto" w:fill="auto"/>
          </w:tcPr>
          <w:p w14:paraId="1098D364" w14:textId="77777777" w:rsidR="00020251" w:rsidRPr="00E45CD5" w:rsidRDefault="00020251" w:rsidP="000071E5">
            <w:pPr>
              <w:spacing w:line="240" w:lineRule="auto"/>
              <w:rPr>
                <w:rFonts w:ascii="Arial" w:hAnsi="Arial" w:cs="Arial"/>
                <w:b/>
                <w:sz w:val="20"/>
                <w:szCs w:val="20"/>
              </w:rPr>
            </w:pPr>
          </w:p>
        </w:tc>
        <w:tc>
          <w:tcPr>
            <w:tcW w:w="1123" w:type="dxa"/>
            <w:shd w:val="clear" w:color="auto" w:fill="auto"/>
          </w:tcPr>
          <w:p w14:paraId="51F24ABD"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1998</w:t>
            </w:r>
          </w:p>
        </w:tc>
        <w:tc>
          <w:tcPr>
            <w:tcW w:w="900" w:type="dxa"/>
            <w:shd w:val="clear" w:color="auto" w:fill="auto"/>
          </w:tcPr>
          <w:p w14:paraId="572A2354" w14:textId="77777777" w:rsidR="00020251" w:rsidRPr="00E45CD5" w:rsidRDefault="00020251" w:rsidP="000071E5">
            <w:pPr>
              <w:spacing w:line="240" w:lineRule="auto"/>
              <w:rPr>
                <w:rFonts w:ascii="Arial" w:hAnsi="Arial" w:cs="Arial"/>
                <w:b/>
                <w:sz w:val="20"/>
                <w:szCs w:val="20"/>
              </w:rPr>
            </w:pPr>
          </w:p>
        </w:tc>
      </w:tr>
      <w:tr w:rsidR="00020251" w:rsidRPr="00E45CD5" w14:paraId="0988937F" w14:textId="77777777" w:rsidTr="000071E5">
        <w:tc>
          <w:tcPr>
            <w:tcW w:w="2225" w:type="dxa"/>
            <w:shd w:val="clear" w:color="auto" w:fill="auto"/>
          </w:tcPr>
          <w:p w14:paraId="64856CFA"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6DB29C7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Totaal</w:t>
            </w:r>
          </w:p>
          <w:p w14:paraId="782985C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Stemmen</w:t>
            </w:r>
          </w:p>
        </w:tc>
        <w:tc>
          <w:tcPr>
            <w:tcW w:w="857" w:type="dxa"/>
            <w:shd w:val="clear" w:color="auto" w:fill="auto"/>
          </w:tcPr>
          <w:p w14:paraId="6BFE099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w:t>
            </w:r>
          </w:p>
        </w:tc>
        <w:tc>
          <w:tcPr>
            <w:tcW w:w="1123" w:type="dxa"/>
            <w:shd w:val="clear" w:color="auto" w:fill="auto"/>
          </w:tcPr>
          <w:p w14:paraId="0BC1FDA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Totaal</w:t>
            </w:r>
          </w:p>
          <w:p w14:paraId="2C2BF05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Stemmen</w:t>
            </w:r>
          </w:p>
        </w:tc>
        <w:tc>
          <w:tcPr>
            <w:tcW w:w="677" w:type="dxa"/>
            <w:shd w:val="clear" w:color="auto" w:fill="auto"/>
          </w:tcPr>
          <w:p w14:paraId="2CB108B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w:t>
            </w:r>
          </w:p>
        </w:tc>
        <w:tc>
          <w:tcPr>
            <w:tcW w:w="1123" w:type="dxa"/>
            <w:shd w:val="clear" w:color="auto" w:fill="auto"/>
          </w:tcPr>
          <w:p w14:paraId="1EA706C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Totaal</w:t>
            </w:r>
          </w:p>
          <w:p w14:paraId="08BCCF8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Stemmen</w:t>
            </w:r>
          </w:p>
        </w:tc>
        <w:tc>
          <w:tcPr>
            <w:tcW w:w="900" w:type="dxa"/>
            <w:shd w:val="clear" w:color="auto" w:fill="auto"/>
          </w:tcPr>
          <w:p w14:paraId="4E72147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w:t>
            </w:r>
          </w:p>
        </w:tc>
      </w:tr>
      <w:tr w:rsidR="00020251" w:rsidRPr="00E45CD5" w14:paraId="3108BE2E" w14:textId="77777777" w:rsidTr="000071E5">
        <w:tc>
          <w:tcPr>
            <w:tcW w:w="2225" w:type="dxa"/>
            <w:shd w:val="clear" w:color="auto" w:fill="auto"/>
          </w:tcPr>
          <w:p w14:paraId="578F165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Geregistreerde kiezers</w:t>
            </w:r>
          </w:p>
        </w:tc>
        <w:tc>
          <w:tcPr>
            <w:tcW w:w="1123" w:type="dxa"/>
            <w:shd w:val="clear" w:color="auto" w:fill="auto"/>
          </w:tcPr>
          <w:p w14:paraId="275847E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51610</w:t>
            </w:r>
          </w:p>
        </w:tc>
        <w:tc>
          <w:tcPr>
            <w:tcW w:w="857" w:type="dxa"/>
            <w:shd w:val="clear" w:color="auto" w:fill="auto"/>
          </w:tcPr>
          <w:p w14:paraId="00CBCD14"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25872F6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55862</w:t>
            </w:r>
          </w:p>
        </w:tc>
        <w:tc>
          <w:tcPr>
            <w:tcW w:w="677" w:type="dxa"/>
            <w:shd w:val="clear" w:color="auto" w:fill="auto"/>
          </w:tcPr>
          <w:p w14:paraId="4E32C35C"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0C7D7B3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49639</w:t>
            </w:r>
          </w:p>
        </w:tc>
        <w:tc>
          <w:tcPr>
            <w:tcW w:w="900" w:type="dxa"/>
            <w:shd w:val="clear" w:color="auto" w:fill="auto"/>
          </w:tcPr>
          <w:p w14:paraId="44EC1C5C" w14:textId="77777777" w:rsidR="00020251" w:rsidRPr="00E45CD5" w:rsidRDefault="00020251" w:rsidP="000071E5">
            <w:pPr>
              <w:spacing w:line="240" w:lineRule="auto"/>
              <w:rPr>
                <w:rFonts w:ascii="Arial" w:hAnsi="Arial" w:cs="Arial"/>
                <w:sz w:val="20"/>
                <w:szCs w:val="20"/>
              </w:rPr>
            </w:pPr>
          </w:p>
        </w:tc>
      </w:tr>
      <w:tr w:rsidR="00020251" w:rsidRPr="00E45CD5" w14:paraId="2C03FBA8" w14:textId="77777777" w:rsidTr="000071E5">
        <w:tc>
          <w:tcPr>
            <w:tcW w:w="2225" w:type="dxa"/>
            <w:shd w:val="clear" w:color="auto" w:fill="auto"/>
          </w:tcPr>
          <w:p w14:paraId="3774AC8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Uitgebrachte stemmen</w:t>
            </w:r>
          </w:p>
        </w:tc>
        <w:tc>
          <w:tcPr>
            <w:tcW w:w="1123" w:type="dxa"/>
            <w:shd w:val="clear" w:color="auto" w:fill="auto"/>
          </w:tcPr>
          <w:p w14:paraId="120A7069"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39605</w:t>
            </w:r>
          </w:p>
        </w:tc>
        <w:tc>
          <w:tcPr>
            <w:tcW w:w="857" w:type="dxa"/>
            <w:shd w:val="clear" w:color="auto" w:fill="auto"/>
          </w:tcPr>
          <w:p w14:paraId="358731A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77.1</w:t>
            </w:r>
          </w:p>
        </w:tc>
        <w:tc>
          <w:tcPr>
            <w:tcW w:w="1123" w:type="dxa"/>
            <w:shd w:val="clear" w:color="auto" w:fill="auto"/>
          </w:tcPr>
          <w:p w14:paraId="1E89A94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29100</w:t>
            </w:r>
          </w:p>
        </w:tc>
        <w:tc>
          <w:tcPr>
            <w:tcW w:w="677" w:type="dxa"/>
            <w:shd w:val="clear" w:color="auto" w:fill="auto"/>
          </w:tcPr>
          <w:p w14:paraId="222F735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52.1</w:t>
            </w:r>
          </w:p>
        </w:tc>
        <w:tc>
          <w:tcPr>
            <w:tcW w:w="1123" w:type="dxa"/>
            <w:shd w:val="clear" w:color="auto" w:fill="auto"/>
          </w:tcPr>
          <w:p w14:paraId="1169929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32034</w:t>
            </w:r>
          </w:p>
        </w:tc>
        <w:tc>
          <w:tcPr>
            <w:tcW w:w="900" w:type="dxa"/>
            <w:shd w:val="clear" w:color="auto" w:fill="auto"/>
          </w:tcPr>
          <w:p w14:paraId="1A28D87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64.5</w:t>
            </w:r>
          </w:p>
        </w:tc>
      </w:tr>
      <w:tr w:rsidR="00020251" w:rsidRPr="00E45CD5" w14:paraId="6F71667D" w14:textId="77777777" w:rsidTr="000071E5">
        <w:tc>
          <w:tcPr>
            <w:tcW w:w="2225" w:type="dxa"/>
            <w:shd w:val="clear" w:color="auto" w:fill="auto"/>
          </w:tcPr>
          <w:p w14:paraId="2FDA340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Ongeldige stemmen</w:t>
            </w:r>
          </w:p>
        </w:tc>
        <w:tc>
          <w:tcPr>
            <w:tcW w:w="1123" w:type="dxa"/>
            <w:shd w:val="clear" w:color="auto" w:fill="auto"/>
          </w:tcPr>
          <w:p w14:paraId="6109A0E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3171</w:t>
            </w:r>
          </w:p>
        </w:tc>
        <w:tc>
          <w:tcPr>
            <w:tcW w:w="857" w:type="dxa"/>
            <w:shd w:val="clear" w:color="auto" w:fill="auto"/>
          </w:tcPr>
          <w:p w14:paraId="496F24B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8.0</w:t>
            </w:r>
          </w:p>
        </w:tc>
        <w:tc>
          <w:tcPr>
            <w:tcW w:w="1123" w:type="dxa"/>
            <w:shd w:val="clear" w:color="auto" w:fill="auto"/>
          </w:tcPr>
          <w:p w14:paraId="47DFABE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3748</w:t>
            </w:r>
          </w:p>
        </w:tc>
        <w:tc>
          <w:tcPr>
            <w:tcW w:w="677" w:type="dxa"/>
            <w:shd w:val="clear" w:color="auto" w:fill="auto"/>
          </w:tcPr>
          <w:p w14:paraId="6AD1FA8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12.9</w:t>
            </w:r>
          </w:p>
        </w:tc>
        <w:tc>
          <w:tcPr>
            <w:tcW w:w="1123" w:type="dxa"/>
            <w:shd w:val="clear" w:color="auto" w:fill="auto"/>
          </w:tcPr>
          <w:p w14:paraId="14850FC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2951</w:t>
            </w:r>
          </w:p>
        </w:tc>
        <w:tc>
          <w:tcPr>
            <w:tcW w:w="900" w:type="dxa"/>
            <w:shd w:val="clear" w:color="auto" w:fill="auto"/>
          </w:tcPr>
          <w:p w14:paraId="4FBBB73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9.2</w:t>
            </w:r>
          </w:p>
        </w:tc>
      </w:tr>
      <w:tr w:rsidR="00020251" w:rsidRPr="00E45CD5" w14:paraId="7886D392" w14:textId="77777777" w:rsidTr="000071E5">
        <w:tc>
          <w:tcPr>
            <w:tcW w:w="2225" w:type="dxa"/>
            <w:shd w:val="clear" w:color="auto" w:fill="auto"/>
          </w:tcPr>
          <w:p w14:paraId="6C75C69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Geldige stemmen</w:t>
            </w:r>
          </w:p>
        </w:tc>
        <w:tc>
          <w:tcPr>
            <w:tcW w:w="1123" w:type="dxa"/>
            <w:shd w:val="clear" w:color="auto" w:fill="auto"/>
          </w:tcPr>
          <w:p w14:paraId="7D5162F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36434</w:t>
            </w:r>
          </w:p>
        </w:tc>
        <w:tc>
          <w:tcPr>
            <w:tcW w:w="857" w:type="dxa"/>
            <w:shd w:val="clear" w:color="auto" w:fill="auto"/>
          </w:tcPr>
          <w:p w14:paraId="364E167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92.0</w:t>
            </w:r>
          </w:p>
        </w:tc>
        <w:tc>
          <w:tcPr>
            <w:tcW w:w="1123" w:type="dxa"/>
            <w:shd w:val="clear" w:color="auto" w:fill="auto"/>
          </w:tcPr>
          <w:p w14:paraId="6CC0956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25352</w:t>
            </w:r>
          </w:p>
        </w:tc>
        <w:tc>
          <w:tcPr>
            <w:tcW w:w="677" w:type="dxa"/>
            <w:shd w:val="clear" w:color="auto" w:fill="auto"/>
          </w:tcPr>
          <w:p w14:paraId="3330061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87.1</w:t>
            </w:r>
          </w:p>
        </w:tc>
        <w:tc>
          <w:tcPr>
            <w:tcW w:w="1123" w:type="dxa"/>
            <w:shd w:val="clear" w:color="auto" w:fill="auto"/>
          </w:tcPr>
          <w:p w14:paraId="546604B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29083</w:t>
            </w:r>
          </w:p>
        </w:tc>
        <w:tc>
          <w:tcPr>
            <w:tcW w:w="900" w:type="dxa"/>
            <w:shd w:val="clear" w:color="auto" w:fill="auto"/>
          </w:tcPr>
          <w:p w14:paraId="68CF6C9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90.8</w:t>
            </w:r>
          </w:p>
        </w:tc>
      </w:tr>
      <w:tr w:rsidR="00020251" w:rsidRPr="00E45CD5" w14:paraId="71D7B5B6" w14:textId="77777777" w:rsidTr="000071E5">
        <w:tc>
          <w:tcPr>
            <w:tcW w:w="2225" w:type="dxa"/>
            <w:shd w:val="clear" w:color="auto" w:fill="auto"/>
          </w:tcPr>
          <w:p w14:paraId="676F70A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MLSTP-PSD</w:t>
            </w:r>
          </w:p>
        </w:tc>
        <w:tc>
          <w:tcPr>
            <w:tcW w:w="1123" w:type="dxa"/>
            <w:shd w:val="clear" w:color="auto" w:fill="auto"/>
          </w:tcPr>
          <w:p w14:paraId="39410CEF"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12090</w:t>
            </w:r>
          </w:p>
        </w:tc>
        <w:tc>
          <w:tcPr>
            <w:tcW w:w="857" w:type="dxa"/>
            <w:shd w:val="clear" w:color="auto" w:fill="auto"/>
          </w:tcPr>
          <w:p w14:paraId="0F99FFFF"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30.5</w:t>
            </w:r>
          </w:p>
        </w:tc>
        <w:tc>
          <w:tcPr>
            <w:tcW w:w="1123" w:type="dxa"/>
            <w:shd w:val="clear" w:color="auto" w:fill="auto"/>
          </w:tcPr>
          <w:p w14:paraId="21FEA4F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10782</w:t>
            </w:r>
          </w:p>
        </w:tc>
        <w:tc>
          <w:tcPr>
            <w:tcW w:w="677" w:type="dxa"/>
            <w:shd w:val="clear" w:color="auto" w:fill="auto"/>
          </w:tcPr>
          <w:p w14:paraId="410A7A1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42.5</w:t>
            </w:r>
          </w:p>
        </w:tc>
        <w:tc>
          <w:tcPr>
            <w:tcW w:w="1123" w:type="dxa"/>
            <w:shd w:val="clear" w:color="auto" w:fill="auto"/>
          </w:tcPr>
          <w:p w14:paraId="49FA4AE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14785</w:t>
            </w:r>
          </w:p>
        </w:tc>
        <w:tc>
          <w:tcPr>
            <w:tcW w:w="900" w:type="dxa"/>
            <w:shd w:val="clear" w:color="auto" w:fill="auto"/>
          </w:tcPr>
          <w:p w14:paraId="221745A6"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50.8</w:t>
            </w:r>
          </w:p>
        </w:tc>
      </w:tr>
      <w:tr w:rsidR="00020251" w:rsidRPr="00E45CD5" w14:paraId="33E9B150" w14:textId="77777777" w:rsidTr="000071E5">
        <w:tc>
          <w:tcPr>
            <w:tcW w:w="2225" w:type="dxa"/>
            <w:shd w:val="clear" w:color="auto" w:fill="auto"/>
          </w:tcPr>
          <w:p w14:paraId="7B630119"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ADI</w:t>
            </w:r>
          </w:p>
        </w:tc>
        <w:tc>
          <w:tcPr>
            <w:tcW w:w="1123" w:type="dxa"/>
            <w:shd w:val="clear" w:color="auto" w:fill="auto"/>
          </w:tcPr>
          <w:p w14:paraId="202E1132"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22568169"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6BAF4F3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6660</w:t>
            </w:r>
          </w:p>
        </w:tc>
        <w:tc>
          <w:tcPr>
            <w:tcW w:w="677" w:type="dxa"/>
            <w:shd w:val="clear" w:color="auto" w:fill="auto"/>
          </w:tcPr>
          <w:p w14:paraId="3F7FDCE8"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26.3</w:t>
            </w:r>
          </w:p>
        </w:tc>
        <w:tc>
          <w:tcPr>
            <w:tcW w:w="1123" w:type="dxa"/>
            <w:shd w:val="clear" w:color="auto" w:fill="auto"/>
          </w:tcPr>
          <w:p w14:paraId="274A92F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8222</w:t>
            </w:r>
          </w:p>
        </w:tc>
        <w:tc>
          <w:tcPr>
            <w:tcW w:w="900" w:type="dxa"/>
            <w:shd w:val="clear" w:color="auto" w:fill="auto"/>
          </w:tcPr>
          <w:p w14:paraId="72F4C9A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28.3</w:t>
            </w:r>
          </w:p>
        </w:tc>
      </w:tr>
      <w:tr w:rsidR="00020251" w:rsidRPr="00E45CD5" w14:paraId="4A14E991" w14:textId="77777777" w:rsidTr="000071E5">
        <w:tc>
          <w:tcPr>
            <w:tcW w:w="2225" w:type="dxa"/>
            <w:shd w:val="clear" w:color="auto" w:fill="auto"/>
          </w:tcPr>
          <w:p w14:paraId="27441E3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PCD-GR</w:t>
            </w:r>
          </w:p>
        </w:tc>
        <w:tc>
          <w:tcPr>
            <w:tcW w:w="1123" w:type="dxa"/>
            <w:shd w:val="clear" w:color="auto" w:fill="auto"/>
          </w:tcPr>
          <w:p w14:paraId="7B47B06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21535</w:t>
            </w:r>
          </w:p>
        </w:tc>
        <w:tc>
          <w:tcPr>
            <w:tcW w:w="857" w:type="dxa"/>
            <w:shd w:val="clear" w:color="auto" w:fill="auto"/>
          </w:tcPr>
          <w:p w14:paraId="0847D88F"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54.4</w:t>
            </w:r>
          </w:p>
        </w:tc>
        <w:tc>
          <w:tcPr>
            <w:tcW w:w="1123" w:type="dxa"/>
            <w:shd w:val="clear" w:color="auto" w:fill="auto"/>
          </w:tcPr>
          <w:p w14:paraId="474B97C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6235</w:t>
            </w:r>
          </w:p>
        </w:tc>
        <w:tc>
          <w:tcPr>
            <w:tcW w:w="677" w:type="dxa"/>
            <w:shd w:val="clear" w:color="auto" w:fill="auto"/>
          </w:tcPr>
          <w:p w14:paraId="3A0A7F1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24.6</w:t>
            </w:r>
          </w:p>
        </w:tc>
        <w:tc>
          <w:tcPr>
            <w:tcW w:w="1123" w:type="dxa"/>
            <w:shd w:val="clear" w:color="auto" w:fill="auto"/>
          </w:tcPr>
          <w:p w14:paraId="3FBB62D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4667</w:t>
            </w:r>
          </w:p>
        </w:tc>
        <w:tc>
          <w:tcPr>
            <w:tcW w:w="900" w:type="dxa"/>
            <w:shd w:val="clear" w:color="auto" w:fill="auto"/>
          </w:tcPr>
          <w:p w14:paraId="12CC7E4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16.0</w:t>
            </w:r>
          </w:p>
        </w:tc>
      </w:tr>
      <w:tr w:rsidR="00020251" w:rsidRPr="00E45CD5" w14:paraId="339E0452" w14:textId="77777777" w:rsidTr="000071E5">
        <w:tc>
          <w:tcPr>
            <w:tcW w:w="2225" w:type="dxa"/>
            <w:shd w:val="clear" w:color="auto" w:fill="auto"/>
          </w:tcPr>
          <w:p w14:paraId="1F514AF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CODO</w:t>
            </w:r>
          </w:p>
        </w:tc>
        <w:tc>
          <w:tcPr>
            <w:tcW w:w="1123" w:type="dxa"/>
            <w:shd w:val="clear" w:color="auto" w:fill="auto"/>
          </w:tcPr>
          <w:p w14:paraId="0CB6107F"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2071</w:t>
            </w:r>
          </w:p>
        </w:tc>
        <w:tc>
          <w:tcPr>
            <w:tcW w:w="857" w:type="dxa"/>
            <w:shd w:val="clear" w:color="auto" w:fill="auto"/>
          </w:tcPr>
          <w:p w14:paraId="3FA38A0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5.2</w:t>
            </w:r>
          </w:p>
        </w:tc>
        <w:tc>
          <w:tcPr>
            <w:tcW w:w="1123" w:type="dxa"/>
            <w:shd w:val="clear" w:color="auto" w:fill="auto"/>
          </w:tcPr>
          <w:p w14:paraId="7FF37A6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1152</w:t>
            </w:r>
          </w:p>
        </w:tc>
        <w:tc>
          <w:tcPr>
            <w:tcW w:w="677" w:type="dxa"/>
            <w:shd w:val="clear" w:color="auto" w:fill="auto"/>
          </w:tcPr>
          <w:p w14:paraId="3AAC647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4.5</w:t>
            </w:r>
          </w:p>
        </w:tc>
        <w:tc>
          <w:tcPr>
            <w:tcW w:w="1123" w:type="dxa"/>
            <w:shd w:val="clear" w:color="auto" w:fill="auto"/>
          </w:tcPr>
          <w:p w14:paraId="0296096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483</w:t>
            </w:r>
          </w:p>
        </w:tc>
        <w:tc>
          <w:tcPr>
            <w:tcW w:w="900" w:type="dxa"/>
            <w:shd w:val="clear" w:color="auto" w:fill="auto"/>
          </w:tcPr>
          <w:p w14:paraId="50F3CA2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1.7</w:t>
            </w:r>
          </w:p>
        </w:tc>
      </w:tr>
      <w:tr w:rsidR="00020251" w:rsidRPr="00E45CD5" w14:paraId="40A78A39" w14:textId="77777777" w:rsidTr="000071E5">
        <w:tc>
          <w:tcPr>
            <w:tcW w:w="2225" w:type="dxa"/>
            <w:shd w:val="clear" w:color="auto" w:fill="auto"/>
          </w:tcPr>
          <w:p w14:paraId="50188E56"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AP</w:t>
            </w:r>
          </w:p>
        </w:tc>
        <w:tc>
          <w:tcPr>
            <w:tcW w:w="1123" w:type="dxa"/>
            <w:shd w:val="clear" w:color="auto" w:fill="auto"/>
          </w:tcPr>
          <w:p w14:paraId="59195D32"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3D192CD8"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09DA209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342</w:t>
            </w:r>
          </w:p>
        </w:tc>
        <w:tc>
          <w:tcPr>
            <w:tcW w:w="677" w:type="dxa"/>
            <w:shd w:val="clear" w:color="auto" w:fill="auto"/>
          </w:tcPr>
          <w:p w14:paraId="10218E6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1.4</w:t>
            </w:r>
          </w:p>
        </w:tc>
        <w:tc>
          <w:tcPr>
            <w:tcW w:w="1123" w:type="dxa"/>
            <w:shd w:val="clear" w:color="auto" w:fill="auto"/>
          </w:tcPr>
          <w:p w14:paraId="726028A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183</w:t>
            </w:r>
          </w:p>
        </w:tc>
        <w:tc>
          <w:tcPr>
            <w:tcW w:w="900" w:type="dxa"/>
            <w:shd w:val="clear" w:color="auto" w:fill="auto"/>
          </w:tcPr>
          <w:p w14:paraId="6E0493D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0.6</w:t>
            </w:r>
          </w:p>
        </w:tc>
      </w:tr>
      <w:tr w:rsidR="00020251" w:rsidRPr="00E45CD5" w14:paraId="1D5F338E" w14:textId="77777777" w:rsidTr="000071E5">
        <w:tc>
          <w:tcPr>
            <w:tcW w:w="2225" w:type="dxa"/>
            <w:shd w:val="clear" w:color="auto" w:fill="auto"/>
          </w:tcPr>
          <w:p w14:paraId="766E89B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FDC</w:t>
            </w:r>
          </w:p>
        </w:tc>
        <w:tc>
          <w:tcPr>
            <w:tcW w:w="1123" w:type="dxa"/>
            <w:shd w:val="clear" w:color="auto" w:fill="auto"/>
          </w:tcPr>
          <w:p w14:paraId="09A5351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598</w:t>
            </w:r>
          </w:p>
        </w:tc>
        <w:tc>
          <w:tcPr>
            <w:tcW w:w="857" w:type="dxa"/>
            <w:shd w:val="clear" w:color="auto" w:fill="auto"/>
          </w:tcPr>
          <w:p w14:paraId="21F2EC3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1.5</w:t>
            </w:r>
          </w:p>
        </w:tc>
        <w:tc>
          <w:tcPr>
            <w:tcW w:w="1123" w:type="dxa"/>
            <w:shd w:val="clear" w:color="auto" w:fill="auto"/>
          </w:tcPr>
          <w:p w14:paraId="7F5C64D9"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181</w:t>
            </w:r>
          </w:p>
        </w:tc>
        <w:tc>
          <w:tcPr>
            <w:tcW w:w="677" w:type="dxa"/>
            <w:shd w:val="clear" w:color="auto" w:fill="auto"/>
          </w:tcPr>
          <w:p w14:paraId="1695D07F"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0.7</w:t>
            </w:r>
          </w:p>
        </w:tc>
        <w:tc>
          <w:tcPr>
            <w:tcW w:w="1123" w:type="dxa"/>
            <w:shd w:val="clear" w:color="auto" w:fill="auto"/>
          </w:tcPr>
          <w:p w14:paraId="0C6C4EC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156</w:t>
            </w:r>
          </w:p>
        </w:tc>
        <w:tc>
          <w:tcPr>
            <w:tcW w:w="900" w:type="dxa"/>
            <w:shd w:val="clear" w:color="auto" w:fill="auto"/>
          </w:tcPr>
          <w:p w14:paraId="3216524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0.5</w:t>
            </w:r>
          </w:p>
        </w:tc>
      </w:tr>
      <w:tr w:rsidR="00020251" w:rsidRPr="00E45CD5" w14:paraId="2C05C346" w14:textId="77777777" w:rsidTr="000071E5">
        <w:tc>
          <w:tcPr>
            <w:tcW w:w="2225" w:type="dxa"/>
            <w:shd w:val="clear" w:color="auto" w:fill="auto"/>
          </w:tcPr>
          <w:p w14:paraId="6849862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UNDP</w:t>
            </w:r>
          </w:p>
        </w:tc>
        <w:tc>
          <w:tcPr>
            <w:tcW w:w="1123" w:type="dxa"/>
            <w:shd w:val="clear" w:color="auto" w:fill="auto"/>
          </w:tcPr>
          <w:p w14:paraId="67AD8A5F"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07A23B6D"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75CE8110" w14:textId="77777777" w:rsidR="00020251" w:rsidRPr="00E45CD5" w:rsidRDefault="00020251" w:rsidP="000071E5">
            <w:pPr>
              <w:spacing w:line="240" w:lineRule="auto"/>
              <w:rPr>
                <w:rFonts w:ascii="Arial" w:hAnsi="Arial" w:cs="Arial"/>
                <w:sz w:val="20"/>
                <w:szCs w:val="20"/>
              </w:rPr>
            </w:pPr>
          </w:p>
        </w:tc>
        <w:tc>
          <w:tcPr>
            <w:tcW w:w="677" w:type="dxa"/>
            <w:shd w:val="clear" w:color="auto" w:fill="auto"/>
          </w:tcPr>
          <w:p w14:paraId="0E3A330F"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69C57DD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363</w:t>
            </w:r>
          </w:p>
        </w:tc>
        <w:tc>
          <w:tcPr>
            <w:tcW w:w="900" w:type="dxa"/>
            <w:shd w:val="clear" w:color="auto" w:fill="auto"/>
          </w:tcPr>
          <w:p w14:paraId="5878C40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1.2</w:t>
            </w:r>
          </w:p>
        </w:tc>
      </w:tr>
      <w:tr w:rsidR="00020251" w:rsidRPr="00E45CD5" w14:paraId="3FEA9B45" w14:textId="77777777" w:rsidTr="000071E5">
        <w:tc>
          <w:tcPr>
            <w:tcW w:w="2225" w:type="dxa"/>
            <w:shd w:val="clear" w:color="auto" w:fill="auto"/>
          </w:tcPr>
          <w:p w14:paraId="74210FC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PPP</w:t>
            </w:r>
          </w:p>
        </w:tc>
        <w:tc>
          <w:tcPr>
            <w:tcW w:w="1123" w:type="dxa"/>
            <w:shd w:val="clear" w:color="auto" w:fill="auto"/>
          </w:tcPr>
          <w:p w14:paraId="3366F360"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0F9378A1"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2787684B" w14:textId="77777777" w:rsidR="00020251" w:rsidRPr="00E45CD5" w:rsidRDefault="00020251" w:rsidP="000071E5">
            <w:pPr>
              <w:spacing w:line="240" w:lineRule="auto"/>
              <w:rPr>
                <w:rFonts w:ascii="Arial" w:hAnsi="Arial" w:cs="Arial"/>
                <w:sz w:val="20"/>
                <w:szCs w:val="20"/>
              </w:rPr>
            </w:pPr>
          </w:p>
        </w:tc>
        <w:tc>
          <w:tcPr>
            <w:tcW w:w="677" w:type="dxa"/>
            <w:shd w:val="clear" w:color="auto" w:fill="auto"/>
          </w:tcPr>
          <w:p w14:paraId="10B8DABE"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1EAC682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334</w:t>
            </w:r>
          </w:p>
        </w:tc>
        <w:tc>
          <w:tcPr>
            <w:tcW w:w="900" w:type="dxa"/>
            <w:shd w:val="clear" w:color="auto" w:fill="auto"/>
          </w:tcPr>
          <w:p w14:paraId="5724F57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1.1</w:t>
            </w:r>
          </w:p>
        </w:tc>
      </w:tr>
      <w:tr w:rsidR="00020251" w:rsidRPr="00E45CD5" w14:paraId="728A3E7F" w14:textId="77777777" w:rsidTr="000071E5">
        <w:tc>
          <w:tcPr>
            <w:tcW w:w="2225" w:type="dxa"/>
            <w:shd w:val="clear" w:color="auto" w:fill="auto"/>
          </w:tcPr>
          <w:p w14:paraId="26537E42"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NS (effectief aantal electorale partijen)</w:t>
            </w:r>
            <w:r w:rsidRPr="00E45CD5">
              <w:rPr>
                <w:rFonts w:ascii="Arial" w:hAnsi="Arial" w:cs="Arial"/>
                <w:i/>
                <w:sz w:val="20"/>
                <w:szCs w:val="20"/>
                <w:vertAlign w:val="superscript"/>
              </w:rPr>
              <w:t>a</w:t>
            </w:r>
          </w:p>
        </w:tc>
        <w:tc>
          <w:tcPr>
            <w:tcW w:w="1123" w:type="dxa"/>
            <w:shd w:val="clear" w:color="auto" w:fill="auto"/>
          </w:tcPr>
          <w:p w14:paraId="6C1F7BCC"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1.52</w:t>
            </w:r>
          </w:p>
        </w:tc>
        <w:tc>
          <w:tcPr>
            <w:tcW w:w="857" w:type="dxa"/>
            <w:shd w:val="clear" w:color="auto" w:fill="auto"/>
          </w:tcPr>
          <w:p w14:paraId="0EDD2870" w14:textId="77777777" w:rsidR="00020251" w:rsidRPr="00E45CD5" w:rsidRDefault="00020251" w:rsidP="000071E5">
            <w:pPr>
              <w:spacing w:line="240" w:lineRule="auto"/>
              <w:rPr>
                <w:rFonts w:ascii="Arial" w:hAnsi="Arial" w:cs="Arial"/>
                <w:i/>
                <w:sz w:val="20"/>
                <w:szCs w:val="20"/>
              </w:rPr>
            </w:pPr>
          </w:p>
        </w:tc>
        <w:tc>
          <w:tcPr>
            <w:tcW w:w="1123" w:type="dxa"/>
            <w:shd w:val="clear" w:color="auto" w:fill="auto"/>
          </w:tcPr>
          <w:p w14:paraId="556516BF"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3,20</w:t>
            </w:r>
          </w:p>
        </w:tc>
        <w:tc>
          <w:tcPr>
            <w:tcW w:w="677" w:type="dxa"/>
            <w:shd w:val="clear" w:color="auto" w:fill="auto"/>
          </w:tcPr>
          <w:p w14:paraId="222670DC" w14:textId="77777777" w:rsidR="00020251" w:rsidRPr="00E45CD5" w:rsidRDefault="00020251" w:rsidP="000071E5">
            <w:pPr>
              <w:spacing w:line="240" w:lineRule="auto"/>
              <w:rPr>
                <w:rFonts w:ascii="Arial" w:hAnsi="Arial" w:cs="Arial"/>
                <w:i/>
                <w:sz w:val="20"/>
                <w:szCs w:val="20"/>
              </w:rPr>
            </w:pPr>
          </w:p>
        </w:tc>
        <w:tc>
          <w:tcPr>
            <w:tcW w:w="1123" w:type="dxa"/>
            <w:shd w:val="clear" w:color="auto" w:fill="auto"/>
          </w:tcPr>
          <w:p w14:paraId="37C468BC"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2,74</w:t>
            </w:r>
          </w:p>
        </w:tc>
        <w:tc>
          <w:tcPr>
            <w:tcW w:w="900" w:type="dxa"/>
            <w:shd w:val="clear" w:color="auto" w:fill="auto"/>
          </w:tcPr>
          <w:p w14:paraId="04F2D2B6" w14:textId="77777777" w:rsidR="00020251" w:rsidRPr="00E45CD5" w:rsidRDefault="00020251" w:rsidP="000071E5">
            <w:pPr>
              <w:spacing w:line="240" w:lineRule="auto"/>
              <w:rPr>
                <w:rFonts w:ascii="Arial" w:hAnsi="Arial" w:cs="Arial"/>
                <w:i/>
                <w:sz w:val="20"/>
                <w:szCs w:val="20"/>
              </w:rPr>
            </w:pPr>
          </w:p>
        </w:tc>
      </w:tr>
    </w:tbl>
    <w:p w14:paraId="3C8C78AF" w14:textId="77777777" w:rsidR="00020251" w:rsidRPr="00E45CD5" w:rsidRDefault="00020251" w:rsidP="00020251">
      <w:pPr>
        <w:spacing w:line="240" w:lineRule="auto"/>
        <w:rPr>
          <w:rFonts w:ascii="Arial" w:hAnsi="Arial" w:cs="Arial"/>
          <w:sz w:val="20"/>
          <w:szCs w:val="20"/>
          <w:lang w:val="en-US"/>
        </w:rPr>
      </w:pPr>
    </w:p>
    <w:p w14:paraId="73FEB6CD" w14:textId="77777777" w:rsidR="00020251" w:rsidRPr="00E45CD5" w:rsidRDefault="00020251" w:rsidP="00020251">
      <w:pPr>
        <w:spacing w:line="240" w:lineRule="auto"/>
        <w:rPr>
          <w:rFonts w:ascii="Arial" w:hAnsi="Arial" w:cs="Arial"/>
          <w:sz w:val="20"/>
          <w:szCs w:val="20"/>
          <w:lang w:val="en-US"/>
        </w:rPr>
      </w:pPr>
    </w:p>
    <w:p w14:paraId="0DB7BF87" w14:textId="77777777" w:rsidR="00020251" w:rsidRPr="00E45CD5" w:rsidRDefault="00020251" w:rsidP="00020251">
      <w:pPr>
        <w:spacing w:line="240" w:lineRule="auto"/>
        <w:jc w:val="both"/>
        <w:rPr>
          <w:rFonts w:ascii="Arial" w:hAnsi="Arial" w:cs="Arial"/>
          <w:b/>
          <w:sz w:val="20"/>
          <w:szCs w:val="20"/>
        </w:rPr>
      </w:pPr>
      <w:r w:rsidRPr="00E45CD5">
        <w:rPr>
          <w:rFonts w:ascii="Arial" w:hAnsi="Arial" w:cs="Arial"/>
          <w:b/>
          <w:sz w:val="20"/>
          <w:szCs w:val="20"/>
        </w:rPr>
        <w:t>Correcte verwijzing</w:t>
      </w:r>
    </w:p>
    <w:p w14:paraId="5D3B44A1" w14:textId="77777777" w:rsidR="00020251" w:rsidRPr="00E45CD5" w:rsidRDefault="00020251" w:rsidP="00020251">
      <w:pPr>
        <w:spacing w:line="240" w:lineRule="auto"/>
        <w:jc w:val="both"/>
        <w:rPr>
          <w:rFonts w:ascii="Arial" w:hAnsi="Arial" w:cs="Arial"/>
          <w:sz w:val="20"/>
          <w:szCs w:val="20"/>
        </w:rPr>
      </w:pPr>
    </w:p>
    <w:p w14:paraId="45C4C33B"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 xml:space="preserve">Op basis van het verkiezingsdataproject van  het </w:t>
      </w:r>
      <w:proofErr w:type="spellStart"/>
      <w:r w:rsidRPr="00E45CD5">
        <w:rPr>
          <w:rFonts w:ascii="Arial" w:hAnsi="Arial" w:cs="Arial"/>
          <w:sz w:val="20"/>
          <w:szCs w:val="20"/>
        </w:rPr>
        <w:t>Institute</w:t>
      </w:r>
      <w:proofErr w:type="spellEnd"/>
      <w:r w:rsidRPr="00E45CD5">
        <w:rPr>
          <w:rFonts w:ascii="Arial" w:hAnsi="Arial" w:cs="Arial"/>
          <w:sz w:val="20"/>
          <w:szCs w:val="20"/>
        </w:rPr>
        <w:t xml:space="preserve"> of </w:t>
      </w:r>
      <w:proofErr w:type="spellStart"/>
      <w:r w:rsidRPr="00E45CD5">
        <w:rPr>
          <w:rFonts w:ascii="Arial" w:hAnsi="Arial" w:cs="Arial"/>
          <w:sz w:val="20"/>
          <w:szCs w:val="20"/>
        </w:rPr>
        <w:t>Political</w:t>
      </w:r>
      <w:proofErr w:type="spellEnd"/>
      <w:r w:rsidRPr="00E45CD5">
        <w:rPr>
          <w:rFonts w:ascii="Arial" w:hAnsi="Arial" w:cs="Arial"/>
          <w:sz w:val="20"/>
          <w:szCs w:val="20"/>
        </w:rPr>
        <w:t xml:space="preserve"> </w:t>
      </w:r>
      <w:proofErr w:type="spellStart"/>
      <w:r w:rsidRPr="00E45CD5">
        <w:rPr>
          <w:rFonts w:ascii="Arial" w:hAnsi="Arial" w:cs="Arial"/>
          <w:sz w:val="20"/>
          <w:szCs w:val="20"/>
        </w:rPr>
        <w:t>Science</w:t>
      </w:r>
      <w:proofErr w:type="spellEnd"/>
      <w:r w:rsidRPr="00E45CD5">
        <w:rPr>
          <w:rFonts w:ascii="Arial" w:hAnsi="Arial" w:cs="Arial"/>
          <w:sz w:val="20"/>
          <w:szCs w:val="20"/>
        </w:rPr>
        <w:t xml:space="preserve"> van de Universiteit of Heidelberg waren we in staat de verkiezingsresultaten voor  de parlementsverkiezingen in São Tomé </w:t>
      </w:r>
      <w:proofErr w:type="spellStart"/>
      <w:r w:rsidRPr="00E45CD5">
        <w:rPr>
          <w:rFonts w:ascii="Arial" w:hAnsi="Arial" w:cs="Arial"/>
          <w:sz w:val="20"/>
          <w:szCs w:val="20"/>
        </w:rPr>
        <w:t>and</w:t>
      </w:r>
      <w:proofErr w:type="spellEnd"/>
      <w:r w:rsidRPr="00E45CD5">
        <w:rPr>
          <w:rFonts w:ascii="Arial" w:hAnsi="Arial" w:cs="Arial"/>
          <w:sz w:val="20"/>
          <w:szCs w:val="20"/>
        </w:rPr>
        <w:t xml:space="preserve"> Principe te gebruiken voor onze analyses. Hieronder, in tabel 1, worden deze resultaten weergegeven (</w:t>
      </w:r>
      <w:proofErr w:type="spellStart"/>
      <w:r w:rsidRPr="00E45CD5">
        <w:rPr>
          <w:rFonts w:ascii="Arial" w:hAnsi="Arial" w:cs="Arial"/>
          <w:sz w:val="20"/>
          <w:szCs w:val="20"/>
        </w:rPr>
        <w:t>Nohlen</w:t>
      </w:r>
      <w:proofErr w:type="spellEnd"/>
      <w:r w:rsidRPr="00E45CD5">
        <w:rPr>
          <w:rFonts w:ascii="Arial" w:hAnsi="Arial" w:cs="Arial"/>
          <w:sz w:val="20"/>
          <w:szCs w:val="20"/>
        </w:rPr>
        <w:t xml:space="preserve">, </w:t>
      </w:r>
      <w:proofErr w:type="spellStart"/>
      <w:r w:rsidRPr="00E45CD5">
        <w:rPr>
          <w:rFonts w:ascii="Arial" w:hAnsi="Arial" w:cs="Arial"/>
          <w:sz w:val="20"/>
          <w:szCs w:val="20"/>
        </w:rPr>
        <w:t>a.o</w:t>
      </w:r>
      <w:proofErr w:type="spellEnd"/>
      <w:r w:rsidRPr="00E45CD5">
        <w:rPr>
          <w:rFonts w:ascii="Arial" w:hAnsi="Arial" w:cs="Arial"/>
          <w:sz w:val="20"/>
          <w:szCs w:val="20"/>
        </w:rPr>
        <w:t>., 2004:764). Het is duidelijk dat zowel het aantal partijen dat deelnam aan de verkiezingen als het effectief aantal electorale partijen van 1,52 naar 3,20 tussen 1991 en 1994 stijgt om dan in 1998 weer lichtjes te dalen (eigen bewerkingen). Uit tabel 1 kan men ook afleiden dat het aandeel van de grootste partij tussen 1991 en 1994 afneemt, waardoor……</w:t>
      </w:r>
    </w:p>
    <w:p w14:paraId="28829A1B" w14:textId="77777777" w:rsidR="00020251" w:rsidRPr="00E45CD5" w:rsidRDefault="00020251" w:rsidP="00020251">
      <w:pPr>
        <w:spacing w:line="240" w:lineRule="auto"/>
        <w:rPr>
          <w:rFonts w:ascii="Arial" w:hAnsi="Arial" w:cs="Arial"/>
          <w:sz w:val="20"/>
          <w:szCs w:val="20"/>
        </w:rPr>
      </w:pPr>
    </w:p>
    <w:p w14:paraId="355ED853"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rPr>
        <w:t xml:space="preserve">Tabel 1. Verkiezingsresultaten Parlementsverkiezingen </w:t>
      </w:r>
    </w:p>
    <w:p w14:paraId="129DABD1" w14:textId="77777777" w:rsidR="00020251" w:rsidRPr="00E45CD5" w:rsidRDefault="00020251" w:rsidP="00020251">
      <w:pPr>
        <w:spacing w:line="240" w:lineRule="auto"/>
        <w:rPr>
          <w:rFonts w:ascii="Arial" w:hAnsi="Arial" w:cs="Arial"/>
          <w:sz w:val="20"/>
          <w:szCs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25"/>
        <w:gridCol w:w="1123"/>
        <w:gridCol w:w="857"/>
        <w:gridCol w:w="1123"/>
        <w:gridCol w:w="677"/>
        <w:gridCol w:w="1123"/>
        <w:gridCol w:w="900"/>
      </w:tblGrid>
      <w:tr w:rsidR="00020251" w:rsidRPr="00E45CD5" w14:paraId="4A20B136" w14:textId="77777777" w:rsidTr="000071E5">
        <w:tc>
          <w:tcPr>
            <w:tcW w:w="2225" w:type="dxa"/>
            <w:shd w:val="clear" w:color="auto" w:fill="auto"/>
          </w:tcPr>
          <w:p w14:paraId="45D5253A"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Jaar</w:t>
            </w:r>
          </w:p>
        </w:tc>
        <w:tc>
          <w:tcPr>
            <w:tcW w:w="1123" w:type="dxa"/>
            <w:shd w:val="clear" w:color="auto" w:fill="auto"/>
          </w:tcPr>
          <w:p w14:paraId="1D01F3AB"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1991</w:t>
            </w:r>
          </w:p>
        </w:tc>
        <w:tc>
          <w:tcPr>
            <w:tcW w:w="857" w:type="dxa"/>
            <w:shd w:val="clear" w:color="auto" w:fill="auto"/>
          </w:tcPr>
          <w:p w14:paraId="6EEDB98A" w14:textId="77777777" w:rsidR="00020251" w:rsidRPr="00E45CD5" w:rsidRDefault="00020251" w:rsidP="000071E5">
            <w:pPr>
              <w:spacing w:line="240" w:lineRule="auto"/>
              <w:rPr>
                <w:rFonts w:ascii="Arial" w:hAnsi="Arial" w:cs="Arial"/>
                <w:b/>
                <w:sz w:val="20"/>
                <w:szCs w:val="20"/>
              </w:rPr>
            </w:pPr>
          </w:p>
        </w:tc>
        <w:tc>
          <w:tcPr>
            <w:tcW w:w="1123" w:type="dxa"/>
            <w:shd w:val="clear" w:color="auto" w:fill="auto"/>
          </w:tcPr>
          <w:p w14:paraId="30F3DBD8"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1994</w:t>
            </w:r>
          </w:p>
        </w:tc>
        <w:tc>
          <w:tcPr>
            <w:tcW w:w="677" w:type="dxa"/>
            <w:shd w:val="clear" w:color="auto" w:fill="auto"/>
          </w:tcPr>
          <w:p w14:paraId="1645B8ED" w14:textId="77777777" w:rsidR="00020251" w:rsidRPr="00E45CD5" w:rsidRDefault="00020251" w:rsidP="000071E5">
            <w:pPr>
              <w:spacing w:line="240" w:lineRule="auto"/>
              <w:rPr>
                <w:rFonts w:ascii="Arial" w:hAnsi="Arial" w:cs="Arial"/>
                <w:b/>
                <w:sz w:val="20"/>
                <w:szCs w:val="20"/>
              </w:rPr>
            </w:pPr>
          </w:p>
        </w:tc>
        <w:tc>
          <w:tcPr>
            <w:tcW w:w="1123" w:type="dxa"/>
            <w:shd w:val="clear" w:color="auto" w:fill="auto"/>
          </w:tcPr>
          <w:p w14:paraId="0BD40C35" w14:textId="77777777" w:rsidR="00020251" w:rsidRPr="00E45CD5" w:rsidRDefault="00020251" w:rsidP="000071E5">
            <w:pPr>
              <w:spacing w:line="240" w:lineRule="auto"/>
              <w:rPr>
                <w:rFonts w:ascii="Arial" w:hAnsi="Arial" w:cs="Arial"/>
                <w:b/>
                <w:sz w:val="20"/>
                <w:szCs w:val="20"/>
              </w:rPr>
            </w:pPr>
            <w:r w:rsidRPr="00E45CD5">
              <w:rPr>
                <w:rFonts w:ascii="Arial" w:hAnsi="Arial" w:cs="Arial"/>
                <w:b/>
                <w:sz w:val="20"/>
                <w:szCs w:val="20"/>
              </w:rPr>
              <w:t>1998</w:t>
            </w:r>
          </w:p>
        </w:tc>
        <w:tc>
          <w:tcPr>
            <w:tcW w:w="900" w:type="dxa"/>
            <w:shd w:val="clear" w:color="auto" w:fill="auto"/>
          </w:tcPr>
          <w:p w14:paraId="60E4F1E4" w14:textId="77777777" w:rsidR="00020251" w:rsidRPr="00E45CD5" w:rsidRDefault="00020251" w:rsidP="000071E5">
            <w:pPr>
              <w:spacing w:line="240" w:lineRule="auto"/>
              <w:rPr>
                <w:rFonts w:ascii="Arial" w:hAnsi="Arial" w:cs="Arial"/>
                <w:b/>
                <w:sz w:val="20"/>
                <w:szCs w:val="20"/>
              </w:rPr>
            </w:pPr>
          </w:p>
        </w:tc>
      </w:tr>
      <w:tr w:rsidR="00020251" w:rsidRPr="00E45CD5" w14:paraId="063A8990" w14:textId="77777777" w:rsidTr="000071E5">
        <w:tc>
          <w:tcPr>
            <w:tcW w:w="2225" w:type="dxa"/>
            <w:shd w:val="clear" w:color="auto" w:fill="auto"/>
          </w:tcPr>
          <w:p w14:paraId="633B4858"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74534F1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Totaal</w:t>
            </w:r>
          </w:p>
          <w:p w14:paraId="3B0E914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Stemmen</w:t>
            </w:r>
          </w:p>
        </w:tc>
        <w:tc>
          <w:tcPr>
            <w:tcW w:w="857" w:type="dxa"/>
            <w:shd w:val="clear" w:color="auto" w:fill="auto"/>
          </w:tcPr>
          <w:p w14:paraId="38E936B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w:t>
            </w:r>
          </w:p>
        </w:tc>
        <w:tc>
          <w:tcPr>
            <w:tcW w:w="1123" w:type="dxa"/>
            <w:shd w:val="clear" w:color="auto" w:fill="auto"/>
          </w:tcPr>
          <w:p w14:paraId="65E54BC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Totaal</w:t>
            </w:r>
          </w:p>
          <w:p w14:paraId="28999CD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Stemmen</w:t>
            </w:r>
          </w:p>
        </w:tc>
        <w:tc>
          <w:tcPr>
            <w:tcW w:w="677" w:type="dxa"/>
            <w:shd w:val="clear" w:color="auto" w:fill="auto"/>
          </w:tcPr>
          <w:p w14:paraId="2823964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w:t>
            </w:r>
          </w:p>
        </w:tc>
        <w:tc>
          <w:tcPr>
            <w:tcW w:w="1123" w:type="dxa"/>
            <w:shd w:val="clear" w:color="auto" w:fill="auto"/>
          </w:tcPr>
          <w:p w14:paraId="78486938"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Totaal</w:t>
            </w:r>
          </w:p>
          <w:p w14:paraId="0CF9843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Stemmen</w:t>
            </w:r>
          </w:p>
        </w:tc>
        <w:tc>
          <w:tcPr>
            <w:tcW w:w="900" w:type="dxa"/>
            <w:shd w:val="clear" w:color="auto" w:fill="auto"/>
          </w:tcPr>
          <w:p w14:paraId="5B527AB6"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w:t>
            </w:r>
          </w:p>
        </w:tc>
      </w:tr>
      <w:tr w:rsidR="00020251" w:rsidRPr="00E45CD5" w14:paraId="6C6EE9D2" w14:textId="77777777" w:rsidTr="000071E5">
        <w:tc>
          <w:tcPr>
            <w:tcW w:w="2225" w:type="dxa"/>
            <w:shd w:val="clear" w:color="auto" w:fill="auto"/>
          </w:tcPr>
          <w:p w14:paraId="0EBC0CF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Geregistreerde kiezers</w:t>
            </w:r>
          </w:p>
        </w:tc>
        <w:tc>
          <w:tcPr>
            <w:tcW w:w="1123" w:type="dxa"/>
            <w:shd w:val="clear" w:color="auto" w:fill="auto"/>
          </w:tcPr>
          <w:p w14:paraId="5F4932C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51610</w:t>
            </w:r>
          </w:p>
        </w:tc>
        <w:tc>
          <w:tcPr>
            <w:tcW w:w="857" w:type="dxa"/>
            <w:shd w:val="clear" w:color="auto" w:fill="auto"/>
          </w:tcPr>
          <w:p w14:paraId="162E8D42"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12EDEBF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55862</w:t>
            </w:r>
          </w:p>
        </w:tc>
        <w:tc>
          <w:tcPr>
            <w:tcW w:w="677" w:type="dxa"/>
            <w:shd w:val="clear" w:color="auto" w:fill="auto"/>
          </w:tcPr>
          <w:p w14:paraId="4C81B459"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26F0A9D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49639</w:t>
            </w:r>
          </w:p>
        </w:tc>
        <w:tc>
          <w:tcPr>
            <w:tcW w:w="900" w:type="dxa"/>
            <w:shd w:val="clear" w:color="auto" w:fill="auto"/>
          </w:tcPr>
          <w:p w14:paraId="79AFE847" w14:textId="77777777" w:rsidR="00020251" w:rsidRPr="00E45CD5" w:rsidRDefault="00020251" w:rsidP="000071E5">
            <w:pPr>
              <w:spacing w:line="240" w:lineRule="auto"/>
              <w:rPr>
                <w:rFonts w:ascii="Arial" w:hAnsi="Arial" w:cs="Arial"/>
                <w:sz w:val="20"/>
                <w:szCs w:val="20"/>
              </w:rPr>
            </w:pPr>
          </w:p>
        </w:tc>
      </w:tr>
      <w:tr w:rsidR="00020251" w:rsidRPr="00E45CD5" w14:paraId="414883EF" w14:textId="77777777" w:rsidTr="000071E5">
        <w:tc>
          <w:tcPr>
            <w:tcW w:w="2225" w:type="dxa"/>
            <w:shd w:val="clear" w:color="auto" w:fill="auto"/>
          </w:tcPr>
          <w:p w14:paraId="760D0B3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Uitgebrachte stemmen</w:t>
            </w:r>
          </w:p>
        </w:tc>
        <w:tc>
          <w:tcPr>
            <w:tcW w:w="1123" w:type="dxa"/>
            <w:shd w:val="clear" w:color="auto" w:fill="auto"/>
          </w:tcPr>
          <w:p w14:paraId="6D73DC1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39605</w:t>
            </w:r>
          </w:p>
        </w:tc>
        <w:tc>
          <w:tcPr>
            <w:tcW w:w="857" w:type="dxa"/>
            <w:shd w:val="clear" w:color="auto" w:fill="auto"/>
          </w:tcPr>
          <w:p w14:paraId="10CEAD6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77.1</w:t>
            </w:r>
          </w:p>
        </w:tc>
        <w:tc>
          <w:tcPr>
            <w:tcW w:w="1123" w:type="dxa"/>
            <w:shd w:val="clear" w:color="auto" w:fill="auto"/>
          </w:tcPr>
          <w:p w14:paraId="63E0176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29100</w:t>
            </w:r>
          </w:p>
        </w:tc>
        <w:tc>
          <w:tcPr>
            <w:tcW w:w="677" w:type="dxa"/>
            <w:shd w:val="clear" w:color="auto" w:fill="auto"/>
          </w:tcPr>
          <w:p w14:paraId="26EF687F"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52.1</w:t>
            </w:r>
          </w:p>
        </w:tc>
        <w:tc>
          <w:tcPr>
            <w:tcW w:w="1123" w:type="dxa"/>
            <w:shd w:val="clear" w:color="auto" w:fill="auto"/>
          </w:tcPr>
          <w:p w14:paraId="498896F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32034</w:t>
            </w:r>
          </w:p>
        </w:tc>
        <w:tc>
          <w:tcPr>
            <w:tcW w:w="900" w:type="dxa"/>
            <w:shd w:val="clear" w:color="auto" w:fill="auto"/>
          </w:tcPr>
          <w:p w14:paraId="18138E58"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64.5</w:t>
            </w:r>
          </w:p>
        </w:tc>
      </w:tr>
      <w:tr w:rsidR="00020251" w:rsidRPr="00E45CD5" w14:paraId="7FD35104" w14:textId="77777777" w:rsidTr="000071E5">
        <w:tc>
          <w:tcPr>
            <w:tcW w:w="2225" w:type="dxa"/>
            <w:shd w:val="clear" w:color="auto" w:fill="auto"/>
          </w:tcPr>
          <w:p w14:paraId="15FA49F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Ongeldige stemmen</w:t>
            </w:r>
          </w:p>
        </w:tc>
        <w:tc>
          <w:tcPr>
            <w:tcW w:w="1123" w:type="dxa"/>
            <w:shd w:val="clear" w:color="auto" w:fill="auto"/>
          </w:tcPr>
          <w:p w14:paraId="3DF4FA1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3171</w:t>
            </w:r>
          </w:p>
        </w:tc>
        <w:tc>
          <w:tcPr>
            <w:tcW w:w="857" w:type="dxa"/>
            <w:shd w:val="clear" w:color="auto" w:fill="auto"/>
          </w:tcPr>
          <w:p w14:paraId="7A2A8736"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8.0</w:t>
            </w:r>
          </w:p>
        </w:tc>
        <w:tc>
          <w:tcPr>
            <w:tcW w:w="1123" w:type="dxa"/>
            <w:shd w:val="clear" w:color="auto" w:fill="auto"/>
          </w:tcPr>
          <w:p w14:paraId="4C921A6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3748</w:t>
            </w:r>
          </w:p>
        </w:tc>
        <w:tc>
          <w:tcPr>
            <w:tcW w:w="677" w:type="dxa"/>
            <w:shd w:val="clear" w:color="auto" w:fill="auto"/>
          </w:tcPr>
          <w:p w14:paraId="1C0CB286"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12.9</w:t>
            </w:r>
          </w:p>
        </w:tc>
        <w:tc>
          <w:tcPr>
            <w:tcW w:w="1123" w:type="dxa"/>
            <w:shd w:val="clear" w:color="auto" w:fill="auto"/>
          </w:tcPr>
          <w:p w14:paraId="2E2979E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2951</w:t>
            </w:r>
          </w:p>
        </w:tc>
        <w:tc>
          <w:tcPr>
            <w:tcW w:w="900" w:type="dxa"/>
            <w:shd w:val="clear" w:color="auto" w:fill="auto"/>
          </w:tcPr>
          <w:p w14:paraId="08354CE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9.2</w:t>
            </w:r>
          </w:p>
        </w:tc>
      </w:tr>
      <w:tr w:rsidR="00020251" w:rsidRPr="00E45CD5" w14:paraId="437CA508" w14:textId="77777777" w:rsidTr="000071E5">
        <w:tc>
          <w:tcPr>
            <w:tcW w:w="2225" w:type="dxa"/>
            <w:shd w:val="clear" w:color="auto" w:fill="auto"/>
          </w:tcPr>
          <w:p w14:paraId="68D7FB4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Geldige stemmen</w:t>
            </w:r>
          </w:p>
        </w:tc>
        <w:tc>
          <w:tcPr>
            <w:tcW w:w="1123" w:type="dxa"/>
            <w:shd w:val="clear" w:color="auto" w:fill="auto"/>
          </w:tcPr>
          <w:p w14:paraId="40CF407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36434</w:t>
            </w:r>
          </w:p>
        </w:tc>
        <w:tc>
          <w:tcPr>
            <w:tcW w:w="857" w:type="dxa"/>
            <w:shd w:val="clear" w:color="auto" w:fill="auto"/>
          </w:tcPr>
          <w:p w14:paraId="69E7CF4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92.0</w:t>
            </w:r>
          </w:p>
        </w:tc>
        <w:tc>
          <w:tcPr>
            <w:tcW w:w="1123" w:type="dxa"/>
            <w:shd w:val="clear" w:color="auto" w:fill="auto"/>
          </w:tcPr>
          <w:p w14:paraId="7D0767F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25352</w:t>
            </w:r>
          </w:p>
        </w:tc>
        <w:tc>
          <w:tcPr>
            <w:tcW w:w="677" w:type="dxa"/>
            <w:shd w:val="clear" w:color="auto" w:fill="auto"/>
          </w:tcPr>
          <w:p w14:paraId="202BC5F9"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87.1</w:t>
            </w:r>
          </w:p>
        </w:tc>
        <w:tc>
          <w:tcPr>
            <w:tcW w:w="1123" w:type="dxa"/>
            <w:shd w:val="clear" w:color="auto" w:fill="auto"/>
          </w:tcPr>
          <w:p w14:paraId="4A569C2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29083</w:t>
            </w:r>
          </w:p>
        </w:tc>
        <w:tc>
          <w:tcPr>
            <w:tcW w:w="900" w:type="dxa"/>
            <w:shd w:val="clear" w:color="auto" w:fill="auto"/>
          </w:tcPr>
          <w:p w14:paraId="77B05A1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90.8</w:t>
            </w:r>
          </w:p>
        </w:tc>
      </w:tr>
      <w:tr w:rsidR="00020251" w:rsidRPr="00E45CD5" w14:paraId="4EBE4B60" w14:textId="77777777" w:rsidTr="000071E5">
        <w:tc>
          <w:tcPr>
            <w:tcW w:w="2225" w:type="dxa"/>
            <w:shd w:val="clear" w:color="auto" w:fill="auto"/>
          </w:tcPr>
          <w:p w14:paraId="1FD3EFD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MLSTP-PSD</w:t>
            </w:r>
          </w:p>
        </w:tc>
        <w:tc>
          <w:tcPr>
            <w:tcW w:w="1123" w:type="dxa"/>
            <w:shd w:val="clear" w:color="auto" w:fill="auto"/>
          </w:tcPr>
          <w:p w14:paraId="20A3B21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12090</w:t>
            </w:r>
          </w:p>
        </w:tc>
        <w:tc>
          <w:tcPr>
            <w:tcW w:w="857" w:type="dxa"/>
            <w:shd w:val="clear" w:color="auto" w:fill="auto"/>
          </w:tcPr>
          <w:p w14:paraId="42F4DB2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30.5</w:t>
            </w:r>
          </w:p>
        </w:tc>
        <w:tc>
          <w:tcPr>
            <w:tcW w:w="1123" w:type="dxa"/>
            <w:shd w:val="clear" w:color="auto" w:fill="auto"/>
          </w:tcPr>
          <w:p w14:paraId="4689229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10782</w:t>
            </w:r>
          </w:p>
        </w:tc>
        <w:tc>
          <w:tcPr>
            <w:tcW w:w="677" w:type="dxa"/>
            <w:shd w:val="clear" w:color="auto" w:fill="auto"/>
          </w:tcPr>
          <w:p w14:paraId="1601D60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42.5</w:t>
            </w:r>
          </w:p>
        </w:tc>
        <w:tc>
          <w:tcPr>
            <w:tcW w:w="1123" w:type="dxa"/>
            <w:shd w:val="clear" w:color="auto" w:fill="auto"/>
          </w:tcPr>
          <w:p w14:paraId="5F7B863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14785</w:t>
            </w:r>
          </w:p>
        </w:tc>
        <w:tc>
          <w:tcPr>
            <w:tcW w:w="900" w:type="dxa"/>
            <w:shd w:val="clear" w:color="auto" w:fill="auto"/>
          </w:tcPr>
          <w:p w14:paraId="20D9632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50.8</w:t>
            </w:r>
          </w:p>
        </w:tc>
      </w:tr>
      <w:tr w:rsidR="00020251" w:rsidRPr="00E45CD5" w14:paraId="33FAF294" w14:textId="77777777" w:rsidTr="000071E5">
        <w:tc>
          <w:tcPr>
            <w:tcW w:w="2225" w:type="dxa"/>
            <w:shd w:val="clear" w:color="auto" w:fill="auto"/>
          </w:tcPr>
          <w:p w14:paraId="755E8B2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ADI</w:t>
            </w:r>
          </w:p>
        </w:tc>
        <w:tc>
          <w:tcPr>
            <w:tcW w:w="1123" w:type="dxa"/>
            <w:shd w:val="clear" w:color="auto" w:fill="auto"/>
          </w:tcPr>
          <w:p w14:paraId="470D1283"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5B8C0008"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24EA27F2"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6660</w:t>
            </w:r>
          </w:p>
        </w:tc>
        <w:tc>
          <w:tcPr>
            <w:tcW w:w="677" w:type="dxa"/>
            <w:shd w:val="clear" w:color="auto" w:fill="auto"/>
          </w:tcPr>
          <w:p w14:paraId="460B3E1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26.3</w:t>
            </w:r>
          </w:p>
        </w:tc>
        <w:tc>
          <w:tcPr>
            <w:tcW w:w="1123" w:type="dxa"/>
            <w:shd w:val="clear" w:color="auto" w:fill="auto"/>
          </w:tcPr>
          <w:p w14:paraId="385AB826"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8222</w:t>
            </w:r>
          </w:p>
        </w:tc>
        <w:tc>
          <w:tcPr>
            <w:tcW w:w="900" w:type="dxa"/>
            <w:shd w:val="clear" w:color="auto" w:fill="auto"/>
          </w:tcPr>
          <w:p w14:paraId="0B576CF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28.3</w:t>
            </w:r>
          </w:p>
        </w:tc>
      </w:tr>
      <w:tr w:rsidR="00020251" w:rsidRPr="00E45CD5" w14:paraId="22574877" w14:textId="77777777" w:rsidTr="000071E5">
        <w:tc>
          <w:tcPr>
            <w:tcW w:w="2225" w:type="dxa"/>
            <w:shd w:val="clear" w:color="auto" w:fill="auto"/>
          </w:tcPr>
          <w:p w14:paraId="3D38E4D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PCD-GR</w:t>
            </w:r>
          </w:p>
        </w:tc>
        <w:tc>
          <w:tcPr>
            <w:tcW w:w="1123" w:type="dxa"/>
            <w:shd w:val="clear" w:color="auto" w:fill="auto"/>
          </w:tcPr>
          <w:p w14:paraId="4AB0EEF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21535</w:t>
            </w:r>
          </w:p>
        </w:tc>
        <w:tc>
          <w:tcPr>
            <w:tcW w:w="857" w:type="dxa"/>
            <w:shd w:val="clear" w:color="auto" w:fill="auto"/>
          </w:tcPr>
          <w:p w14:paraId="00CC5D2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54.4</w:t>
            </w:r>
          </w:p>
        </w:tc>
        <w:tc>
          <w:tcPr>
            <w:tcW w:w="1123" w:type="dxa"/>
            <w:shd w:val="clear" w:color="auto" w:fill="auto"/>
          </w:tcPr>
          <w:p w14:paraId="3B1EC928"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6235</w:t>
            </w:r>
          </w:p>
        </w:tc>
        <w:tc>
          <w:tcPr>
            <w:tcW w:w="677" w:type="dxa"/>
            <w:shd w:val="clear" w:color="auto" w:fill="auto"/>
          </w:tcPr>
          <w:p w14:paraId="2717E68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24.6</w:t>
            </w:r>
          </w:p>
        </w:tc>
        <w:tc>
          <w:tcPr>
            <w:tcW w:w="1123" w:type="dxa"/>
            <w:shd w:val="clear" w:color="auto" w:fill="auto"/>
          </w:tcPr>
          <w:p w14:paraId="5AF312D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4667</w:t>
            </w:r>
          </w:p>
        </w:tc>
        <w:tc>
          <w:tcPr>
            <w:tcW w:w="900" w:type="dxa"/>
            <w:shd w:val="clear" w:color="auto" w:fill="auto"/>
          </w:tcPr>
          <w:p w14:paraId="3A27C25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16.0</w:t>
            </w:r>
          </w:p>
        </w:tc>
      </w:tr>
      <w:tr w:rsidR="00020251" w:rsidRPr="00E45CD5" w14:paraId="62DB61BA" w14:textId="77777777" w:rsidTr="000071E5">
        <w:tc>
          <w:tcPr>
            <w:tcW w:w="2225" w:type="dxa"/>
            <w:shd w:val="clear" w:color="auto" w:fill="auto"/>
          </w:tcPr>
          <w:p w14:paraId="0983D44D"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CODO</w:t>
            </w:r>
          </w:p>
        </w:tc>
        <w:tc>
          <w:tcPr>
            <w:tcW w:w="1123" w:type="dxa"/>
            <w:shd w:val="clear" w:color="auto" w:fill="auto"/>
          </w:tcPr>
          <w:p w14:paraId="2174440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2071</w:t>
            </w:r>
          </w:p>
        </w:tc>
        <w:tc>
          <w:tcPr>
            <w:tcW w:w="857" w:type="dxa"/>
            <w:shd w:val="clear" w:color="auto" w:fill="auto"/>
          </w:tcPr>
          <w:p w14:paraId="0461660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5.2</w:t>
            </w:r>
          </w:p>
        </w:tc>
        <w:tc>
          <w:tcPr>
            <w:tcW w:w="1123" w:type="dxa"/>
            <w:shd w:val="clear" w:color="auto" w:fill="auto"/>
          </w:tcPr>
          <w:p w14:paraId="2794E773"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1152</w:t>
            </w:r>
          </w:p>
        </w:tc>
        <w:tc>
          <w:tcPr>
            <w:tcW w:w="677" w:type="dxa"/>
            <w:shd w:val="clear" w:color="auto" w:fill="auto"/>
          </w:tcPr>
          <w:p w14:paraId="168001B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4.5</w:t>
            </w:r>
          </w:p>
        </w:tc>
        <w:tc>
          <w:tcPr>
            <w:tcW w:w="1123" w:type="dxa"/>
            <w:shd w:val="clear" w:color="auto" w:fill="auto"/>
          </w:tcPr>
          <w:p w14:paraId="47CF9D2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483</w:t>
            </w:r>
          </w:p>
        </w:tc>
        <w:tc>
          <w:tcPr>
            <w:tcW w:w="900" w:type="dxa"/>
            <w:shd w:val="clear" w:color="auto" w:fill="auto"/>
          </w:tcPr>
          <w:p w14:paraId="02CBE34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1.7</w:t>
            </w:r>
          </w:p>
        </w:tc>
      </w:tr>
      <w:tr w:rsidR="00020251" w:rsidRPr="00E45CD5" w14:paraId="0FE46284" w14:textId="77777777" w:rsidTr="000071E5">
        <w:tc>
          <w:tcPr>
            <w:tcW w:w="2225" w:type="dxa"/>
            <w:shd w:val="clear" w:color="auto" w:fill="auto"/>
          </w:tcPr>
          <w:p w14:paraId="1541003B"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AP</w:t>
            </w:r>
          </w:p>
        </w:tc>
        <w:tc>
          <w:tcPr>
            <w:tcW w:w="1123" w:type="dxa"/>
            <w:shd w:val="clear" w:color="auto" w:fill="auto"/>
          </w:tcPr>
          <w:p w14:paraId="79B291E0"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5293324A"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73FD1AB8"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342</w:t>
            </w:r>
          </w:p>
        </w:tc>
        <w:tc>
          <w:tcPr>
            <w:tcW w:w="677" w:type="dxa"/>
            <w:shd w:val="clear" w:color="auto" w:fill="auto"/>
          </w:tcPr>
          <w:p w14:paraId="4FF6FCE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1.4</w:t>
            </w:r>
          </w:p>
        </w:tc>
        <w:tc>
          <w:tcPr>
            <w:tcW w:w="1123" w:type="dxa"/>
            <w:shd w:val="clear" w:color="auto" w:fill="auto"/>
          </w:tcPr>
          <w:p w14:paraId="51501D47"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183</w:t>
            </w:r>
          </w:p>
        </w:tc>
        <w:tc>
          <w:tcPr>
            <w:tcW w:w="900" w:type="dxa"/>
            <w:shd w:val="clear" w:color="auto" w:fill="auto"/>
          </w:tcPr>
          <w:p w14:paraId="098008F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0.6</w:t>
            </w:r>
          </w:p>
        </w:tc>
      </w:tr>
      <w:tr w:rsidR="00020251" w:rsidRPr="00E45CD5" w14:paraId="3BE79BAE" w14:textId="77777777" w:rsidTr="000071E5">
        <w:tc>
          <w:tcPr>
            <w:tcW w:w="2225" w:type="dxa"/>
            <w:shd w:val="clear" w:color="auto" w:fill="auto"/>
          </w:tcPr>
          <w:p w14:paraId="47A42EA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FDC</w:t>
            </w:r>
          </w:p>
        </w:tc>
        <w:tc>
          <w:tcPr>
            <w:tcW w:w="1123" w:type="dxa"/>
            <w:shd w:val="clear" w:color="auto" w:fill="auto"/>
          </w:tcPr>
          <w:p w14:paraId="009FA30E"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598</w:t>
            </w:r>
          </w:p>
        </w:tc>
        <w:tc>
          <w:tcPr>
            <w:tcW w:w="857" w:type="dxa"/>
            <w:shd w:val="clear" w:color="auto" w:fill="auto"/>
          </w:tcPr>
          <w:p w14:paraId="073EFB66"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1.5</w:t>
            </w:r>
          </w:p>
        </w:tc>
        <w:tc>
          <w:tcPr>
            <w:tcW w:w="1123" w:type="dxa"/>
            <w:shd w:val="clear" w:color="auto" w:fill="auto"/>
          </w:tcPr>
          <w:p w14:paraId="163F2B16"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181</w:t>
            </w:r>
          </w:p>
        </w:tc>
        <w:tc>
          <w:tcPr>
            <w:tcW w:w="677" w:type="dxa"/>
            <w:shd w:val="clear" w:color="auto" w:fill="auto"/>
          </w:tcPr>
          <w:p w14:paraId="10649E5C"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0.7</w:t>
            </w:r>
          </w:p>
        </w:tc>
        <w:tc>
          <w:tcPr>
            <w:tcW w:w="1123" w:type="dxa"/>
            <w:shd w:val="clear" w:color="auto" w:fill="auto"/>
          </w:tcPr>
          <w:p w14:paraId="7F1BE375"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156</w:t>
            </w:r>
          </w:p>
        </w:tc>
        <w:tc>
          <w:tcPr>
            <w:tcW w:w="900" w:type="dxa"/>
            <w:shd w:val="clear" w:color="auto" w:fill="auto"/>
          </w:tcPr>
          <w:p w14:paraId="6BF1F24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0.5</w:t>
            </w:r>
          </w:p>
        </w:tc>
      </w:tr>
      <w:tr w:rsidR="00020251" w:rsidRPr="00E45CD5" w14:paraId="1DDB88F3" w14:textId="77777777" w:rsidTr="000071E5">
        <w:tc>
          <w:tcPr>
            <w:tcW w:w="2225" w:type="dxa"/>
            <w:shd w:val="clear" w:color="auto" w:fill="auto"/>
          </w:tcPr>
          <w:p w14:paraId="3F4C23A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UNDP</w:t>
            </w:r>
          </w:p>
        </w:tc>
        <w:tc>
          <w:tcPr>
            <w:tcW w:w="1123" w:type="dxa"/>
            <w:shd w:val="clear" w:color="auto" w:fill="auto"/>
          </w:tcPr>
          <w:p w14:paraId="66FF7A8D"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720D73B9"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091D6DC2" w14:textId="77777777" w:rsidR="00020251" w:rsidRPr="00E45CD5" w:rsidRDefault="00020251" w:rsidP="000071E5">
            <w:pPr>
              <w:spacing w:line="240" w:lineRule="auto"/>
              <w:rPr>
                <w:rFonts w:ascii="Arial" w:hAnsi="Arial" w:cs="Arial"/>
                <w:sz w:val="20"/>
                <w:szCs w:val="20"/>
              </w:rPr>
            </w:pPr>
          </w:p>
        </w:tc>
        <w:tc>
          <w:tcPr>
            <w:tcW w:w="677" w:type="dxa"/>
            <w:shd w:val="clear" w:color="auto" w:fill="auto"/>
          </w:tcPr>
          <w:p w14:paraId="49084E2B"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5EABA548"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363</w:t>
            </w:r>
          </w:p>
        </w:tc>
        <w:tc>
          <w:tcPr>
            <w:tcW w:w="900" w:type="dxa"/>
            <w:shd w:val="clear" w:color="auto" w:fill="auto"/>
          </w:tcPr>
          <w:p w14:paraId="79F096F1"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1.2</w:t>
            </w:r>
          </w:p>
        </w:tc>
      </w:tr>
      <w:tr w:rsidR="00020251" w:rsidRPr="00E45CD5" w14:paraId="2296418D" w14:textId="77777777" w:rsidTr="000071E5">
        <w:tc>
          <w:tcPr>
            <w:tcW w:w="2225" w:type="dxa"/>
            <w:shd w:val="clear" w:color="auto" w:fill="auto"/>
          </w:tcPr>
          <w:p w14:paraId="0A218D40"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PPP</w:t>
            </w:r>
          </w:p>
        </w:tc>
        <w:tc>
          <w:tcPr>
            <w:tcW w:w="1123" w:type="dxa"/>
            <w:shd w:val="clear" w:color="auto" w:fill="auto"/>
          </w:tcPr>
          <w:p w14:paraId="443481DA" w14:textId="77777777" w:rsidR="00020251" w:rsidRPr="00E45CD5" w:rsidRDefault="00020251" w:rsidP="000071E5">
            <w:pPr>
              <w:spacing w:line="240" w:lineRule="auto"/>
              <w:rPr>
                <w:rFonts w:ascii="Arial" w:hAnsi="Arial" w:cs="Arial"/>
                <w:sz w:val="20"/>
                <w:szCs w:val="20"/>
              </w:rPr>
            </w:pPr>
          </w:p>
        </w:tc>
        <w:tc>
          <w:tcPr>
            <w:tcW w:w="857" w:type="dxa"/>
            <w:shd w:val="clear" w:color="auto" w:fill="auto"/>
          </w:tcPr>
          <w:p w14:paraId="2D666B7A"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4D35F4A5" w14:textId="77777777" w:rsidR="00020251" w:rsidRPr="00E45CD5" w:rsidRDefault="00020251" w:rsidP="000071E5">
            <w:pPr>
              <w:spacing w:line="240" w:lineRule="auto"/>
              <w:rPr>
                <w:rFonts w:ascii="Arial" w:hAnsi="Arial" w:cs="Arial"/>
                <w:sz w:val="20"/>
                <w:szCs w:val="20"/>
              </w:rPr>
            </w:pPr>
          </w:p>
        </w:tc>
        <w:tc>
          <w:tcPr>
            <w:tcW w:w="677" w:type="dxa"/>
            <w:shd w:val="clear" w:color="auto" w:fill="auto"/>
          </w:tcPr>
          <w:p w14:paraId="29F7492A" w14:textId="77777777" w:rsidR="00020251" w:rsidRPr="00E45CD5" w:rsidRDefault="00020251" w:rsidP="000071E5">
            <w:pPr>
              <w:spacing w:line="240" w:lineRule="auto"/>
              <w:rPr>
                <w:rFonts w:ascii="Arial" w:hAnsi="Arial" w:cs="Arial"/>
                <w:sz w:val="20"/>
                <w:szCs w:val="20"/>
              </w:rPr>
            </w:pPr>
          </w:p>
        </w:tc>
        <w:tc>
          <w:tcPr>
            <w:tcW w:w="1123" w:type="dxa"/>
            <w:shd w:val="clear" w:color="auto" w:fill="auto"/>
          </w:tcPr>
          <w:p w14:paraId="0EBEA754"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334</w:t>
            </w:r>
          </w:p>
        </w:tc>
        <w:tc>
          <w:tcPr>
            <w:tcW w:w="900" w:type="dxa"/>
            <w:shd w:val="clear" w:color="auto" w:fill="auto"/>
          </w:tcPr>
          <w:p w14:paraId="4325F78A" w14:textId="77777777" w:rsidR="00020251" w:rsidRPr="00E45CD5" w:rsidRDefault="00020251" w:rsidP="000071E5">
            <w:pPr>
              <w:spacing w:line="240" w:lineRule="auto"/>
              <w:rPr>
                <w:rFonts w:ascii="Arial" w:hAnsi="Arial" w:cs="Arial"/>
                <w:sz w:val="20"/>
                <w:szCs w:val="20"/>
              </w:rPr>
            </w:pPr>
            <w:r w:rsidRPr="00E45CD5">
              <w:rPr>
                <w:rFonts w:ascii="Arial" w:hAnsi="Arial" w:cs="Arial"/>
                <w:sz w:val="20"/>
                <w:szCs w:val="20"/>
              </w:rPr>
              <w:t>1.1</w:t>
            </w:r>
          </w:p>
        </w:tc>
      </w:tr>
      <w:tr w:rsidR="00020251" w:rsidRPr="00E45CD5" w14:paraId="288572AE" w14:textId="77777777" w:rsidTr="000071E5">
        <w:tc>
          <w:tcPr>
            <w:tcW w:w="2225" w:type="dxa"/>
            <w:shd w:val="clear" w:color="auto" w:fill="auto"/>
          </w:tcPr>
          <w:p w14:paraId="795D7E95"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N</w:t>
            </w:r>
            <w:r w:rsidRPr="00E45CD5">
              <w:rPr>
                <w:rFonts w:ascii="Arial" w:hAnsi="Arial" w:cs="Arial"/>
                <w:i/>
                <w:sz w:val="20"/>
                <w:szCs w:val="20"/>
                <w:vertAlign w:val="subscript"/>
              </w:rPr>
              <w:t xml:space="preserve">V </w:t>
            </w:r>
            <w:r w:rsidRPr="00E45CD5">
              <w:rPr>
                <w:rFonts w:ascii="Arial" w:hAnsi="Arial" w:cs="Arial"/>
                <w:i/>
                <w:sz w:val="20"/>
                <w:szCs w:val="20"/>
              </w:rPr>
              <w:t>(effectief aantal electorale partijen)</w:t>
            </w:r>
            <w:r w:rsidRPr="00E45CD5">
              <w:rPr>
                <w:rFonts w:ascii="Arial" w:hAnsi="Arial" w:cs="Arial"/>
                <w:i/>
                <w:sz w:val="20"/>
                <w:szCs w:val="20"/>
                <w:vertAlign w:val="superscript"/>
              </w:rPr>
              <w:t>a</w:t>
            </w:r>
          </w:p>
        </w:tc>
        <w:tc>
          <w:tcPr>
            <w:tcW w:w="1123" w:type="dxa"/>
            <w:shd w:val="clear" w:color="auto" w:fill="auto"/>
          </w:tcPr>
          <w:p w14:paraId="12CE1B75"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1.52</w:t>
            </w:r>
          </w:p>
        </w:tc>
        <w:tc>
          <w:tcPr>
            <w:tcW w:w="857" w:type="dxa"/>
            <w:shd w:val="clear" w:color="auto" w:fill="auto"/>
          </w:tcPr>
          <w:p w14:paraId="08001EC4" w14:textId="77777777" w:rsidR="00020251" w:rsidRPr="00E45CD5" w:rsidRDefault="00020251" w:rsidP="000071E5">
            <w:pPr>
              <w:spacing w:line="240" w:lineRule="auto"/>
              <w:rPr>
                <w:rFonts w:ascii="Arial" w:hAnsi="Arial" w:cs="Arial"/>
                <w:i/>
                <w:sz w:val="20"/>
                <w:szCs w:val="20"/>
              </w:rPr>
            </w:pPr>
          </w:p>
        </w:tc>
        <w:tc>
          <w:tcPr>
            <w:tcW w:w="1123" w:type="dxa"/>
            <w:shd w:val="clear" w:color="auto" w:fill="auto"/>
          </w:tcPr>
          <w:p w14:paraId="07A8EEB8"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3,20</w:t>
            </w:r>
          </w:p>
        </w:tc>
        <w:tc>
          <w:tcPr>
            <w:tcW w:w="677" w:type="dxa"/>
            <w:shd w:val="clear" w:color="auto" w:fill="auto"/>
          </w:tcPr>
          <w:p w14:paraId="76DAAE15" w14:textId="77777777" w:rsidR="00020251" w:rsidRPr="00E45CD5" w:rsidRDefault="00020251" w:rsidP="000071E5">
            <w:pPr>
              <w:spacing w:line="240" w:lineRule="auto"/>
              <w:rPr>
                <w:rFonts w:ascii="Arial" w:hAnsi="Arial" w:cs="Arial"/>
                <w:i/>
                <w:sz w:val="20"/>
                <w:szCs w:val="20"/>
              </w:rPr>
            </w:pPr>
          </w:p>
        </w:tc>
        <w:tc>
          <w:tcPr>
            <w:tcW w:w="1123" w:type="dxa"/>
            <w:shd w:val="clear" w:color="auto" w:fill="auto"/>
          </w:tcPr>
          <w:p w14:paraId="3E554009" w14:textId="77777777" w:rsidR="00020251" w:rsidRPr="00E45CD5" w:rsidRDefault="00020251" w:rsidP="000071E5">
            <w:pPr>
              <w:spacing w:line="240" w:lineRule="auto"/>
              <w:rPr>
                <w:rFonts w:ascii="Arial" w:hAnsi="Arial" w:cs="Arial"/>
                <w:i/>
                <w:sz w:val="20"/>
                <w:szCs w:val="20"/>
              </w:rPr>
            </w:pPr>
            <w:r w:rsidRPr="00E45CD5">
              <w:rPr>
                <w:rFonts w:ascii="Arial" w:hAnsi="Arial" w:cs="Arial"/>
                <w:i/>
                <w:sz w:val="20"/>
                <w:szCs w:val="20"/>
              </w:rPr>
              <w:t>2,74</w:t>
            </w:r>
          </w:p>
        </w:tc>
        <w:tc>
          <w:tcPr>
            <w:tcW w:w="900" w:type="dxa"/>
            <w:shd w:val="clear" w:color="auto" w:fill="auto"/>
          </w:tcPr>
          <w:p w14:paraId="67865C07" w14:textId="77777777" w:rsidR="00020251" w:rsidRPr="00E45CD5" w:rsidRDefault="00020251" w:rsidP="000071E5">
            <w:pPr>
              <w:spacing w:line="240" w:lineRule="auto"/>
              <w:rPr>
                <w:rFonts w:ascii="Arial" w:hAnsi="Arial" w:cs="Arial"/>
                <w:i/>
                <w:sz w:val="20"/>
                <w:szCs w:val="20"/>
              </w:rPr>
            </w:pPr>
          </w:p>
        </w:tc>
      </w:tr>
    </w:tbl>
    <w:p w14:paraId="228D3389" w14:textId="77777777" w:rsidR="00020251" w:rsidRPr="00E45CD5" w:rsidRDefault="00020251" w:rsidP="00020251">
      <w:pPr>
        <w:spacing w:line="240" w:lineRule="auto"/>
        <w:rPr>
          <w:rFonts w:ascii="Arial" w:hAnsi="Arial" w:cs="Arial"/>
          <w:sz w:val="20"/>
          <w:szCs w:val="20"/>
          <w:lang w:val="en-US"/>
        </w:rPr>
      </w:pPr>
      <w:r w:rsidRPr="00FB30FC">
        <w:rPr>
          <w:rFonts w:ascii="Arial" w:hAnsi="Arial" w:cs="Arial"/>
          <w:sz w:val="20"/>
          <w:szCs w:val="20"/>
        </w:rPr>
        <w:t xml:space="preserve">Data gebaseerd op: D. </w:t>
      </w:r>
      <w:proofErr w:type="spellStart"/>
      <w:r w:rsidRPr="00FB30FC">
        <w:rPr>
          <w:rFonts w:ascii="Arial" w:hAnsi="Arial" w:cs="Arial"/>
          <w:sz w:val="20"/>
          <w:szCs w:val="20"/>
        </w:rPr>
        <w:t>Nohlen</w:t>
      </w:r>
      <w:proofErr w:type="spellEnd"/>
      <w:r w:rsidRPr="00FB30FC">
        <w:rPr>
          <w:rFonts w:ascii="Arial" w:hAnsi="Arial" w:cs="Arial"/>
          <w:sz w:val="20"/>
          <w:szCs w:val="20"/>
        </w:rPr>
        <w:t xml:space="preserve">, M. </w:t>
      </w:r>
      <w:proofErr w:type="spellStart"/>
      <w:r w:rsidRPr="00FB30FC">
        <w:rPr>
          <w:rFonts w:ascii="Arial" w:hAnsi="Arial" w:cs="Arial"/>
          <w:sz w:val="20"/>
          <w:szCs w:val="20"/>
        </w:rPr>
        <w:t>Krennerich</w:t>
      </w:r>
      <w:proofErr w:type="spellEnd"/>
      <w:r w:rsidRPr="00FB30FC">
        <w:rPr>
          <w:rFonts w:ascii="Arial" w:hAnsi="Arial" w:cs="Arial"/>
          <w:sz w:val="20"/>
          <w:szCs w:val="20"/>
        </w:rPr>
        <w:t xml:space="preserve"> </w:t>
      </w:r>
      <w:proofErr w:type="spellStart"/>
      <w:r w:rsidRPr="00FB30FC">
        <w:rPr>
          <w:rFonts w:ascii="Arial" w:hAnsi="Arial" w:cs="Arial"/>
          <w:sz w:val="20"/>
          <w:szCs w:val="20"/>
        </w:rPr>
        <w:t>and</w:t>
      </w:r>
      <w:proofErr w:type="spellEnd"/>
      <w:r w:rsidRPr="00FB30FC">
        <w:rPr>
          <w:rFonts w:ascii="Arial" w:hAnsi="Arial" w:cs="Arial"/>
          <w:sz w:val="20"/>
          <w:szCs w:val="20"/>
        </w:rPr>
        <w:t xml:space="preserve"> B. Thibaut (</w:t>
      </w:r>
      <w:proofErr w:type="spellStart"/>
      <w:r w:rsidRPr="00FB30FC">
        <w:rPr>
          <w:rFonts w:ascii="Arial" w:hAnsi="Arial" w:cs="Arial"/>
          <w:sz w:val="20"/>
          <w:szCs w:val="20"/>
        </w:rPr>
        <w:t>eds</w:t>
      </w:r>
      <w:proofErr w:type="spellEnd"/>
      <w:r w:rsidRPr="00FB30FC">
        <w:rPr>
          <w:rFonts w:ascii="Arial" w:hAnsi="Arial" w:cs="Arial"/>
          <w:sz w:val="20"/>
          <w:szCs w:val="20"/>
        </w:rPr>
        <w:t xml:space="preserve">.) </w:t>
      </w:r>
      <w:r w:rsidRPr="00E45CD5">
        <w:rPr>
          <w:rFonts w:ascii="Arial" w:hAnsi="Arial" w:cs="Arial"/>
          <w:sz w:val="20"/>
          <w:szCs w:val="20"/>
          <w:lang w:val="en-US"/>
        </w:rPr>
        <w:t xml:space="preserve">(2004). </w:t>
      </w:r>
      <w:r w:rsidRPr="00E45CD5">
        <w:rPr>
          <w:rFonts w:ascii="Arial" w:hAnsi="Arial" w:cs="Arial"/>
          <w:i/>
          <w:sz w:val="20"/>
          <w:szCs w:val="20"/>
          <w:lang w:val="en-US"/>
        </w:rPr>
        <w:t xml:space="preserve">Elections in Africa. A Data Handbook. </w:t>
      </w:r>
      <w:r w:rsidRPr="00E45CD5">
        <w:rPr>
          <w:rFonts w:ascii="Arial" w:hAnsi="Arial" w:cs="Arial"/>
          <w:sz w:val="20"/>
          <w:szCs w:val="20"/>
          <w:lang w:val="en-US"/>
        </w:rPr>
        <w:t>Oxford: Oxford University, p.746.</w:t>
      </w:r>
    </w:p>
    <w:p w14:paraId="1DFEDCB3" w14:textId="77777777" w:rsidR="00020251" w:rsidRPr="00E45CD5" w:rsidRDefault="00020251" w:rsidP="00020251">
      <w:pPr>
        <w:spacing w:line="240" w:lineRule="auto"/>
        <w:rPr>
          <w:rFonts w:ascii="Arial" w:hAnsi="Arial" w:cs="Arial"/>
          <w:sz w:val="20"/>
          <w:szCs w:val="20"/>
        </w:rPr>
      </w:pPr>
      <w:r w:rsidRPr="00E45CD5">
        <w:rPr>
          <w:rFonts w:ascii="Arial" w:hAnsi="Arial" w:cs="Arial"/>
          <w:sz w:val="20"/>
          <w:szCs w:val="20"/>
          <w:vertAlign w:val="superscript"/>
        </w:rPr>
        <w:t>a</w:t>
      </w:r>
      <w:r w:rsidRPr="00E45CD5">
        <w:rPr>
          <w:rFonts w:ascii="Arial" w:hAnsi="Arial" w:cs="Arial"/>
          <w:sz w:val="20"/>
          <w:szCs w:val="20"/>
        </w:rPr>
        <w:t xml:space="preserve"> Eigen bewerkingen</w:t>
      </w:r>
    </w:p>
    <w:p w14:paraId="55656EE8" w14:textId="77777777" w:rsidR="00020251" w:rsidRPr="00E45CD5" w:rsidRDefault="00020251" w:rsidP="00020251">
      <w:pPr>
        <w:spacing w:line="240" w:lineRule="auto"/>
        <w:rPr>
          <w:rFonts w:ascii="Arial" w:hAnsi="Arial" w:cs="Arial"/>
          <w:sz w:val="20"/>
          <w:szCs w:val="20"/>
        </w:rPr>
      </w:pPr>
    </w:p>
    <w:p w14:paraId="2F5C96BE" w14:textId="77777777" w:rsidR="00020251" w:rsidRPr="00E45CD5" w:rsidRDefault="00020251" w:rsidP="00020251">
      <w:pPr>
        <w:spacing w:line="240" w:lineRule="auto"/>
        <w:jc w:val="both"/>
        <w:rPr>
          <w:rFonts w:ascii="Arial" w:hAnsi="Arial" w:cs="Arial"/>
          <w:b/>
          <w:sz w:val="20"/>
          <w:szCs w:val="20"/>
        </w:rPr>
      </w:pPr>
      <w:r w:rsidRPr="00E45CD5">
        <w:rPr>
          <w:rFonts w:ascii="Arial" w:hAnsi="Arial" w:cs="Arial"/>
          <w:b/>
          <w:sz w:val="20"/>
          <w:szCs w:val="20"/>
        </w:rPr>
        <w:lastRenderedPageBreak/>
        <w:t>Voorbeeld 3 plagiaat :</w:t>
      </w:r>
    </w:p>
    <w:p w14:paraId="0E0FD669" w14:textId="77777777" w:rsidR="00020251" w:rsidRPr="00E45CD5" w:rsidRDefault="00020251" w:rsidP="00020251">
      <w:pPr>
        <w:spacing w:line="240" w:lineRule="auto"/>
        <w:ind w:left="284"/>
        <w:jc w:val="both"/>
        <w:rPr>
          <w:rFonts w:ascii="Arial" w:hAnsi="Arial" w:cs="Arial"/>
          <w:sz w:val="20"/>
          <w:szCs w:val="20"/>
        </w:rPr>
      </w:pPr>
    </w:p>
    <w:p w14:paraId="10A13664" w14:textId="77777777" w:rsidR="00020251" w:rsidRPr="00E45CD5" w:rsidRDefault="00020251" w:rsidP="00020251">
      <w:pPr>
        <w:spacing w:line="240" w:lineRule="auto"/>
        <w:jc w:val="both"/>
        <w:rPr>
          <w:rFonts w:ascii="Arial" w:hAnsi="Arial" w:cs="Arial"/>
          <w:b/>
          <w:sz w:val="20"/>
          <w:szCs w:val="20"/>
        </w:rPr>
      </w:pPr>
      <w:r w:rsidRPr="00E45CD5">
        <w:rPr>
          <w:rFonts w:ascii="Arial" w:hAnsi="Arial" w:cs="Arial"/>
          <w:b/>
          <w:sz w:val="20"/>
          <w:szCs w:val="20"/>
        </w:rPr>
        <w:t>Geen/onvolledige verwijzing naar de bron</w:t>
      </w:r>
    </w:p>
    <w:p w14:paraId="13B04F4E" w14:textId="77777777" w:rsidR="00020251" w:rsidRPr="00E45CD5" w:rsidRDefault="00020251" w:rsidP="00020251">
      <w:pPr>
        <w:spacing w:line="240" w:lineRule="auto"/>
        <w:ind w:left="284"/>
        <w:jc w:val="both"/>
        <w:rPr>
          <w:rFonts w:ascii="Arial" w:hAnsi="Arial" w:cs="Arial"/>
          <w:b/>
          <w:sz w:val="20"/>
          <w:szCs w:val="20"/>
        </w:rPr>
      </w:pPr>
    </w:p>
    <w:p w14:paraId="6DDF26EB"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Onderzoek naar het profiel van de gemeenteraadsleden in een representatief staal van 100 Vlaamse gemeenten in de periode 1946-2000, toonde aan dat er in de leeftijd van de lokale gekozenen in Vlaanderen wel degelijk gewag kan worden gemaakt van een evolutie. Zo werd vastgesteld dat de gemeenteraadsleden verkiezing na verkiezing jonger werden. Sleuteljaar hierin was 1970. In dat jaar was er namelijk sprake van een beduidende verjonging. De verlaging van de kiesgerechtigde leeftijd van 21 naar 18 jaar en van de verkiesbaarheidsleeftijd van 25 naar 21 jaar lagen vanzelfsprekend mede aan de basis van deze daling. Deze wetten openden de deur voor de jongeren maar verzekerden uiteraard niet dat ze effectief een plaats verwierven in het lokaal bestuur. Een tweede vaststelling was verder dat de gemiddelde leeftijd van de vrouwelijke gekozenen in ieder verkiezingsjaar lager lag dan de gemiddelde leeftijd van de mannelijke gekozenen. Tabel 34 geeft een overzicht van de evolutie van de gemiddelde leeftijd per verkiezingsjaar en van de evolutie van de gemiddelde leeftijd per verkiezingsjaar naar geslacht.</w:t>
      </w:r>
    </w:p>
    <w:p w14:paraId="24E4FF6E" w14:textId="77777777" w:rsidR="00020251" w:rsidRPr="00E45CD5" w:rsidRDefault="00020251" w:rsidP="00020251">
      <w:pPr>
        <w:tabs>
          <w:tab w:val="left" w:pos="0"/>
        </w:tabs>
        <w:spacing w:line="240" w:lineRule="auto"/>
        <w:ind w:left="284"/>
        <w:jc w:val="both"/>
        <w:rPr>
          <w:rFonts w:ascii="Arial" w:hAnsi="Arial" w:cs="Arial"/>
          <w:bCs/>
          <w:iCs/>
          <w:sz w:val="20"/>
          <w:szCs w:val="20"/>
        </w:rPr>
      </w:pPr>
    </w:p>
    <w:p w14:paraId="0027F4C2" w14:textId="77777777" w:rsidR="00020251" w:rsidRPr="00E45CD5" w:rsidRDefault="00020251" w:rsidP="00020251">
      <w:pPr>
        <w:tabs>
          <w:tab w:val="left" w:pos="0"/>
        </w:tabs>
        <w:spacing w:line="240" w:lineRule="auto"/>
        <w:jc w:val="both"/>
        <w:rPr>
          <w:rFonts w:ascii="Arial" w:hAnsi="Arial" w:cs="Arial"/>
          <w:bCs/>
          <w:iCs/>
          <w:sz w:val="20"/>
          <w:szCs w:val="20"/>
        </w:rPr>
      </w:pPr>
      <w:r w:rsidRPr="00E45CD5">
        <w:rPr>
          <w:rFonts w:ascii="Arial" w:hAnsi="Arial" w:cs="Arial"/>
          <w:b/>
          <w:bCs/>
          <w:iCs/>
          <w:sz w:val="20"/>
          <w:szCs w:val="20"/>
        </w:rPr>
        <w:t xml:space="preserve">Tabel 34: </w:t>
      </w:r>
      <w:r w:rsidRPr="00E45CD5">
        <w:rPr>
          <w:rFonts w:ascii="Arial" w:hAnsi="Arial" w:cs="Arial"/>
          <w:bCs/>
          <w:iCs/>
          <w:sz w:val="20"/>
          <w:szCs w:val="20"/>
        </w:rPr>
        <w:t>De gemiddelde leeftijd van de mannelijke en vrouwelijke lokale gekozenen in Vlaanderen 1946-2000.</w:t>
      </w:r>
    </w:p>
    <w:p w14:paraId="17E56922" w14:textId="77777777" w:rsidR="00020251" w:rsidRPr="00E45CD5" w:rsidRDefault="00020251" w:rsidP="00020251">
      <w:pPr>
        <w:tabs>
          <w:tab w:val="left" w:pos="0"/>
        </w:tabs>
        <w:spacing w:line="240" w:lineRule="auto"/>
        <w:ind w:left="284"/>
        <w:jc w:val="both"/>
        <w:rPr>
          <w:rFonts w:ascii="Arial" w:hAnsi="Arial" w:cs="Arial"/>
          <w:bCs/>
          <w:iCs/>
          <w:sz w:val="20"/>
          <w:szCs w:val="20"/>
        </w:rPr>
      </w:pPr>
    </w:p>
    <w:tbl>
      <w:tblPr>
        <w:tblW w:w="7796" w:type="dxa"/>
        <w:tblInd w:w="354" w:type="dxa"/>
        <w:tblCellMar>
          <w:left w:w="70" w:type="dxa"/>
          <w:right w:w="70" w:type="dxa"/>
        </w:tblCellMar>
        <w:tblLook w:val="04A0" w:firstRow="1" w:lastRow="0" w:firstColumn="1" w:lastColumn="0" w:noHBand="0" w:noVBand="1"/>
      </w:tblPr>
      <w:tblGrid>
        <w:gridCol w:w="985"/>
        <w:gridCol w:w="729"/>
        <w:gridCol w:w="709"/>
        <w:gridCol w:w="709"/>
        <w:gridCol w:w="709"/>
        <w:gridCol w:w="708"/>
        <w:gridCol w:w="709"/>
        <w:gridCol w:w="709"/>
        <w:gridCol w:w="709"/>
        <w:gridCol w:w="585"/>
        <w:gridCol w:w="585"/>
      </w:tblGrid>
      <w:tr w:rsidR="00020251" w:rsidRPr="00E45CD5" w14:paraId="60035C82" w14:textId="77777777" w:rsidTr="000071E5">
        <w:trPr>
          <w:trHeight w:val="300"/>
        </w:trPr>
        <w:tc>
          <w:tcPr>
            <w:tcW w:w="985" w:type="dxa"/>
            <w:tcBorders>
              <w:top w:val="single" w:sz="4" w:space="0" w:color="auto"/>
              <w:left w:val="single" w:sz="4" w:space="0" w:color="auto"/>
              <w:bottom w:val="single" w:sz="4" w:space="0" w:color="auto"/>
              <w:right w:val="single" w:sz="4" w:space="0" w:color="auto"/>
            </w:tcBorders>
            <w:noWrap/>
            <w:vAlign w:val="bottom"/>
            <w:hideMark/>
          </w:tcPr>
          <w:p w14:paraId="56FEE8BC"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 </w:t>
            </w:r>
          </w:p>
        </w:tc>
        <w:tc>
          <w:tcPr>
            <w:tcW w:w="729" w:type="dxa"/>
            <w:tcBorders>
              <w:top w:val="single" w:sz="4" w:space="0" w:color="auto"/>
              <w:left w:val="nil"/>
              <w:bottom w:val="single" w:sz="4" w:space="0" w:color="auto"/>
              <w:right w:val="single" w:sz="4" w:space="0" w:color="auto"/>
            </w:tcBorders>
            <w:noWrap/>
            <w:vAlign w:val="bottom"/>
            <w:hideMark/>
          </w:tcPr>
          <w:p w14:paraId="0C336307"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1946</w:t>
            </w:r>
          </w:p>
        </w:tc>
        <w:tc>
          <w:tcPr>
            <w:tcW w:w="709" w:type="dxa"/>
            <w:tcBorders>
              <w:top w:val="single" w:sz="4" w:space="0" w:color="auto"/>
              <w:left w:val="nil"/>
              <w:bottom w:val="single" w:sz="4" w:space="0" w:color="auto"/>
              <w:right w:val="single" w:sz="4" w:space="0" w:color="auto"/>
            </w:tcBorders>
            <w:noWrap/>
            <w:vAlign w:val="bottom"/>
            <w:hideMark/>
          </w:tcPr>
          <w:p w14:paraId="2A6AAA5C"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1952</w:t>
            </w:r>
          </w:p>
        </w:tc>
        <w:tc>
          <w:tcPr>
            <w:tcW w:w="709" w:type="dxa"/>
            <w:tcBorders>
              <w:top w:val="single" w:sz="4" w:space="0" w:color="auto"/>
              <w:left w:val="nil"/>
              <w:bottom w:val="single" w:sz="4" w:space="0" w:color="auto"/>
              <w:right w:val="single" w:sz="4" w:space="0" w:color="auto"/>
            </w:tcBorders>
            <w:noWrap/>
            <w:vAlign w:val="bottom"/>
            <w:hideMark/>
          </w:tcPr>
          <w:p w14:paraId="59164258"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1958</w:t>
            </w:r>
          </w:p>
        </w:tc>
        <w:tc>
          <w:tcPr>
            <w:tcW w:w="709" w:type="dxa"/>
            <w:tcBorders>
              <w:top w:val="single" w:sz="4" w:space="0" w:color="auto"/>
              <w:left w:val="nil"/>
              <w:bottom w:val="single" w:sz="4" w:space="0" w:color="auto"/>
              <w:right w:val="single" w:sz="4" w:space="0" w:color="auto"/>
            </w:tcBorders>
            <w:noWrap/>
            <w:vAlign w:val="bottom"/>
            <w:hideMark/>
          </w:tcPr>
          <w:p w14:paraId="45FC0947"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1964</w:t>
            </w:r>
          </w:p>
        </w:tc>
        <w:tc>
          <w:tcPr>
            <w:tcW w:w="708" w:type="dxa"/>
            <w:tcBorders>
              <w:top w:val="single" w:sz="4" w:space="0" w:color="auto"/>
              <w:left w:val="nil"/>
              <w:bottom w:val="single" w:sz="4" w:space="0" w:color="auto"/>
              <w:right w:val="single" w:sz="4" w:space="0" w:color="auto"/>
            </w:tcBorders>
            <w:noWrap/>
            <w:vAlign w:val="bottom"/>
            <w:hideMark/>
          </w:tcPr>
          <w:p w14:paraId="70FCC46D"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1970</w:t>
            </w:r>
          </w:p>
        </w:tc>
        <w:tc>
          <w:tcPr>
            <w:tcW w:w="709" w:type="dxa"/>
            <w:tcBorders>
              <w:top w:val="single" w:sz="4" w:space="0" w:color="auto"/>
              <w:left w:val="nil"/>
              <w:bottom w:val="single" w:sz="4" w:space="0" w:color="auto"/>
              <w:right w:val="single" w:sz="4" w:space="0" w:color="auto"/>
            </w:tcBorders>
            <w:noWrap/>
            <w:vAlign w:val="bottom"/>
            <w:hideMark/>
          </w:tcPr>
          <w:p w14:paraId="2C088F6C"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1976</w:t>
            </w:r>
          </w:p>
        </w:tc>
        <w:tc>
          <w:tcPr>
            <w:tcW w:w="709" w:type="dxa"/>
            <w:tcBorders>
              <w:top w:val="single" w:sz="4" w:space="0" w:color="auto"/>
              <w:left w:val="nil"/>
              <w:bottom w:val="single" w:sz="4" w:space="0" w:color="auto"/>
              <w:right w:val="single" w:sz="4" w:space="0" w:color="auto"/>
            </w:tcBorders>
            <w:noWrap/>
            <w:vAlign w:val="bottom"/>
            <w:hideMark/>
          </w:tcPr>
          <w:p w14:paraId="5F72E598"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1982</w:t>
            </w:r>
          </w:p>
        </w:tc>
        <w:tc>
          <w:tcPr>
            <w:tcW w:w="709" w:type="dxa"/>
            <w:tcBorders>
              <w:top w:val="single" w:sz="4" w:space="0" w:color="auto"/>
              <w:left w:val="nil"/>
              <w:bottom w:val="single" w:sz="4" w:space="0" w:color="auto"/>
              <w:right w:val="single" w:sz="4" w:space="0" w:color="auto"/>
            </w:tcBorders>
            <w:noWrap/>
            <w:vAlign w:val="bottom"/>
            <w:hideMark/>
          </w:tcPr>
          <w:p w14:paraId="55DEDD5F"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1988</w:t>
            </w:r>
          </w:p>
        </w:tc>
        <w:tc>
          <w:tcPr>
            <w:tcW w:w="585" w:type="dxa"/>
            <w:tcBorders>
              <w:top w:val="single" w:sz="4" w:space="0" w:color="auto"/>
              <w:left w:val="nil"/>
              <w:bottom w:val="single" w:sz="4" w:space="0" w:color="auto"/>
              <w:right w:val="single" w:sz="4" w:space="0" w:color="auto"/>
            </w:tcBorders>
            <w:noWrap/>
            <w:vAlign w:val="bottom"/>
            <w:hideMark/>
          </w:tcPr>
          <w:p w14:paraId="61DF6797"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1994</w:t>
            </w:r>
          </w:p>
        </w:tc>
        <w:tc>
          <w:tcPr>
            <w:tcW w:w="535" w:type="dxa"/>
            <w:tcBorders>
              <w:top w:val="single" w:sz="4" w:space="0" w:color="auto"/>
              <w:left w:val="nil"/>
              <w:bottom w:val="single" w:sz="4" w:space="0" w:color="auto"/>
              <w:right w:val="single" w:sz="4" w:space="0" w:color="auto"/>
            </w:tcBorders>
            <w:noWrap/>
            <w:vAlign w:val="bottom"/>
            <w:hideMark/>
          </w:tcPr>
          <w:p w14:paraId="52960324"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2000</w:t>
            </w:r>
          </w:p>
        </w:tc>
      </w:tr>
      <w:tr w:rsidR="00020251" w:rsidRPr="00E45CD5" w14:paraId="6607C9F9" w14:textId="77777777" w:rsidTr="000071E5">
        <w:trPr>
          <w:trHeight w:val="89"/>
        </w:trPr>
        <w:tc>
          <w:tcPr>
            <w:tcW w:w="985" w:type="dxa"/>
            <w:tcBorders>
              <w:top w:val="nil"/>
              <w:left w:val="single" w:sz="4" w:space="0" w:color="auto"/>
              <w:bottom w:val="single" w:sz="4" w:space="0" w:color="auto"/>
              <w:right w:val="single" w:sz="4" w:space="0" w:color="auto"/>
            </w:tcBorders>
            <w:noWrap/>
            <w:vAlign w:val="bottom"/>
            <w:hideMark/>
          </w:tcPr>
          <w:p w14:paraId="7C00DEA9"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Mannen</w:t>
            </w:r>
          </w:p>
        </w:tc>
        <w:tc>
          <w:tcPr>
            <w:tcW w:w="729" w:type="dxa"/>
            <w:tcBorders>
              <w:top w:val="nil"/>
              <w:left w:val="nil"/>
              <w:bottom w:val="single" w:sz="4" w:space="0" w:color="auto"/>
              <w:right w:val="single" w:sz="4" w:space="0" w:color="auto"/>
            </w:tcBorders>
            <w:noWrap/>
            <w:vAlign w:val="bottom"/>
            <w:hideMark/>
          </w:tcPr>
          <w:p w14:paraId="486AE7C4"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48.4</w:t>
            </w:r>
          </w:p>
        </w:tc>
        <w:tc>
          <w:tcPr>
            <w:tcW w:w="709" w:type="dxa"/>
            <w:tcBorders>
              <w:top w:val="nil"/>
              <w:left w:val="nil"/>
              <w:bottom w:val="single" w:sz="4" w:space="0" w:color="auto"/>
              <w:right w:val="single" w:sz="4" w:space="0" w:color="auto"/>
            </w:tcBorders>
            <w:noWrap/>
            <w:vAlign w:val="bottom"/>
            <w:hideMark/>
          </w:tcPr>
          <w:p w14:paraId="484A131C"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50.3</w:t>
            </w:r>
          </w:p>
        </w:tc>
        <w:tc>
          <w:tcPr>
            <w:tcW w:w="709" w:type="dxa"/>
            <w:tcBorders>
              <w:top w:val="nil"/>
              <w:left w:val="nil"/>
              <w:bottom w:val="single" w:sz="4" w:space="0" w:color="auto"/>
              <w:right w:val="single" w:sz="4" w:space="0" w:color="auto"/>
            </w:tcBorders>
            <w:noWrap/>
            <w:vAlign w:val="bottom"/>
            <w:hideMark/>
          </w:tcPr>
          <w:p w14:paraId="5CCBE8E5"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50.4</w:t>
            </w:r>
          </w:p>
        </w:tc>
        <w:tc>
          <w:tcPr>
            <w:tcW w:w="709" w:type="dxa"/>
            <w:tcBorders>
              <w:top w:val="nil"/>
              <w:left w:val="nil"/>
              <w:bottom w:val="single" w:sz="4" w:space="0" w:color="auto"/>
              <w:right w:val="single" w:sz="4" w:space="0" w:color="auto"/>
            </w:tcBorders>
            <w:noWrap/>
            <w:vAlign w:val="bottom"/>
            <w:hideMark/>
          </w:tcPr>
          <w:p w14:paraId="15B27D39"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49.8</w:t>
            </w:r>
          </w:p>
        </w:tc>
        <w:tc>
          <w:tcPr>
            <w:tcW w:w="708" w:type="dxa"/>
            <w:tcBorders>
              <w:top w:val="nil"/>
              <w:left w:val="nil"/>
              <w:bottom w:val="single" w:sz="4" w:space="0" w:color="auto"/>
              <w:right w:val="single" w:sz="4" w:space="0" w:color="auto"/>
            </w:tcBorders>
            <w:noWrap/>
            <w:vAlign w:val="bottom"/>
            <w:hideMark/>
          </w:tcPr>
          <w:p w14:paraId="7B7AB9FD"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46.8</w:t>
            </w:r>
          </w:p>
        </w:tc>
        <w:tc>
          <w:tcPr>
            <w:tcW w:w="709" w:type="dxa"/>
            <w:tcBorders>
              <w:top w:val="nil"/>
              <w:left w:val="nil"/>
              <w:bottom w:val="single" w:sz="4" w:space="0" w:color="auto"/>
              <w:right w:val="single" w:sz="4" w:space="0" w:color="auto"/>
            </w:tcBorders>
            <w:noWrap/>
            <w:vAlign w:val="bottom"/>
            <w:hideMark/>
          </w:tcPr>
          <w:p w14:paraId="2E3E0749"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46.6</w:t>
            </w:r>
          </w:p>
        </w:tc>
        <w:tc>
          <w:tcPr>
            <w:tcW w:w="709" w:type="dxa"/>
            <w:tcBorders>
              <w:top w:val="nil"/>
              <w:left w:val="nil"/>
              <w:bottom w:val="single" w:sz="4" w:space="0" w:color="auto"/>
              <w:right w:val="single" w:sz="4" w:space="0" w:color="auto"/>
            </w:tcBorders>
            <w:noWrap/>
            <w:vAlign w:val="bottom"/>
            <w:hideMark/>
          </w:tcPr>
          <w:p w14:paraId="1CAA5669"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46.2</w:t>
            </w:r>
          </w:p>
        </w:tc>
        <w:tc>
          <w:tcPr>
            <w:tcW w:w="709" w:type="dxa"/>
            <w:tcBorders>
              <w:top w:val="nil"/>
              <w:left w:val="nil"/>
              <w:bottom w:val="single" w:sz="4" w:space="0" w:color="auto"/>
              <w:right w:val="single" w:sz="4" w:space="0" w:color="auto"/>
            </w:tcBorders>
            <w:noWrap/>
            <w:vAlign w:val="bottom"/>
            <w:hideMark/>
          </w:tcPr>
          <w:p w14:paraId="4DC1BA48"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46.5</w:t>
            </w:r>
          </w:p>
        </w:tc>
        <w:tc>
          <w:tcPr>
            <w:tcW w:w="585" w:type="dxa"/>
            <w:tcBorders>
              <w:top w:val="nil"/>
              <w:left w:val="nil"/>
              <w:bottom w:val="single" w:sz="4" w:space="0" w:color="auto"/>
              <w:right w:val="single" w:sz="4" w:space="0" w:color="auto"/>
            </w:tcBorders>
            <w:noWrap/>
            <w:vAlign w:val="bottom"/>
            <w:hideMark/>
          </w:tcPr>
          <w:p w14:paraId="1C144894"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47.2</w:t>
            </w:r>
          </w:p>
        </w:tc>
        <w:tc>
          <w:tcPr>
            <w:tcW w:w="535" w:type="dxa"/>
            <w:tcBorders>
              <w:top w:val="nil"/>
              <w:left w:val="nil"/>
              <w:bottom w:val="single" w:sz="4" w:space="0" w:color="auto"/>
              <w:right w:val="single" w:sz="4" w:space="0" w:color="auto"/>
            </w:tcBorders>
            <w:noWrap/>
            <w:vAlign w:val="bottom"/>
            <w:hideMark/>
          </w:tcPr>
          <w:p w14:paraId="5131293C"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 47.3</w:t>
            </w:r>
          </w:p>
        </w:tc>
      </w:tr>
      <w:tr w:rsidR="00020251" w:rsidRPr="00E45CD5" w14:paraId="46E57098" w14:textId="77777777" w:rsidTr="000071E5">
        <w:trPr>
          <w:trHeight w:val="64"/>
        </w:trPr>
        <w:tc>
          <w:tcPr>
            <w:tcW w:w="985" w:type="dxa"/>
            <w:tcBorders>
              <w:top w:val="nil"/>
              <w:left w:val="single" w:sz="4" w:space="0" w:color="auto"/>
              <w:bottom w:val="single" w:sz="4" w:space="0" w:color="auto"/>
              <w:right w:val="single" w:sz="4" w:space="0" w:color="auto"/>
            </w:tcBorders>
            <w:noWrap/>
            <w:vAlign w:val="bottom"/>
            <w:hideMark/>
          </w:tcPr>
          <w:p w14:paraId="53DC33DE"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Vrouwen</w:t>
            </w:r>
          </w:p>
        </w:tc>
        <w:tc>
          <w:tcPr>
            <w:tcW w:w="729" w:type="dxa"/>
            <w:tcBorders>
              <w:top w:val="nil"/>
              <w:left w:val="nil"/>
              <w:bottom w:val="single" w:sz="4" w:space="0" w:color="auto"/>
              <w:right w:val="single" w:sz="4" w:space="0" w:color="auto"/>
            </w:tcBorders>
            <w:noWrap/>
            <w:vAlign w:val="bottom"/>
            <w:hideMark/>
          </w:tcPr>
          <w:p w14:paraId="41BEA064"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46.9</w:t>
            </w:r>
          </w:p>
        </w:tc>
        <w:tc>
          <w:tcPr>
            <w:tcW w:w="709" w:type="dxa"/>
            <w:tcBorders>
              <w:top w:val="nil"/>
              <w:left w:val="nil"/>
              <w:bottom w:val="single" w:sz="4" w:space="0" w:color="auto"/>
              <w:right w:val="single" w:sz="4" w:space="0" w:color="auto"/>
            </w:tcBorders>
            <w:noWrap/>
            <w:vAlign w:val="bottom"/>
            <w:hideMark/>
          </w:tcPr>
          <w:p w14:paraId="491C06E0"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48.5</w:t>
            </w:r>
          </w:p>
        </w:tc>
        <w:tc>
          <w:tcPr>
            <w:tcW w:w="709" w:type="dxa"/>
            <w:tcBorders>
              <w:top w:val="nil"/>
              <w:left w:val="nil"/>
              <w:bottom w:val="single" w:sz="4" w:space="0" w:color="auto"/>
              <w:right w:val="single" w:sz="4" w:space="0" w:color="auto"/>
            </w:tcBorders>
            <w:noWrap/>
            <w:vAlign w:val="bottom"/>
            <w:hideMark/>
          </w:tcPr>
          <w:p w14:paraId="5340A474"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49.6</w:t>
            </w:r>
          </w:p>
        </w:tc>
        <w:tc>
          <w:tcPr>
            <w:tcW w:w="709" w:type="dxa"/>
            <w:tcBorders>
              <w:top w:val="nil"/>
              <w:left w:val="nil"/>
              <w:bottom w:val="single" w:sz="4" w:space="0" w:color="auto"/>
              <w:right w:val="single" w:sz="4" w:space="0" w:color="auto"/>
            </w:tcBorders>
            <w:noWrap/>
            <w:vAlign w:val="bottom"/>
            <w:hideMark/>
          </w:tcPr>
          <w:p w14:paraId="71F1D140"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49.7</w:t>
            </w:r>
          </w:p>
        </w:tc>
        <w:tc>
          <w:tcPr>
            <w:tcW w:w="708" w:type="dxa"/>
            <w:tcBorders>
              <w:top w:val="nil"/>
              <w:left w:val="nil"/>
              <w:bottom w:val="single" w:sz="4" w:space="0" w:color="auto"/>
              <w:right w:val="single" w:sz="4" w:space="0" w:color="auto"/>
            </w:tcBorders>
            <w:noWrap/>
            <w:vAlign w:val="bottom"/>
            <w:hideMark/>
          </w:tcPr>
          <w:p w14:paraId="64F57FA8"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42.6</w:t>
            </w:r>
          </w:p>
        </w:tc>
        <w:tc>
          <w:tcPr>
            <w:tcW w:w="709" w:type="dxa"/>
            <w:tcBorders>
              <w:top w:val="nil"/>
              <w:left w:val="nil"/>
              <w:bottom w:val="single" w:sz="4" w:space="0" w:color="auto"/>
              <w:right w:val="single" w:sz="4" w:space="0" w:color="auto"/>
            </w:tcBorders>
            <w:noWrap/>
            <w:vAlign w:val="bottom"/>
            <w:hideMark/>
          </w:tcPr>
          <w:p w14:paraId="392F302A"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44.0</w:t>
            </w:r>
          </w:p>
        </w:tc>
        <w:tc>
          <w:tcPr>
            <w:tcW w:w="709" w:type="dxa"/>
            <w:tcBorders>
              <w:top w:val="nil"/>
              <w:left w:val="nil"/>
              <w:bottom w:val="single" w:sz="4" w:space="0" w:color="auto"/>
              <w:right w:val="single" w:sz="4" w:space="0" w:color="auto"/>
            </w:tcBorders>
            <w:noWrap/>
            <w:vAlign w:val="bottom"/>
            <w:hideMark/>
          </w:tcPr>
          <w:p w14:paraId="625796D2"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45.6</w:t>
            </w:r>
          </w:p>
        </w:tc>
        <w:tc>
          <w:tcPr>
            <w:tcW w:w="709" w:type="dxa"/>
            <w:tcBorders>
              <w:top w:val="nil"/>
              <w:left w:val="nil"/>
              <w:bottom w:val="single" w:sz="4" w:space="0" w:color="auto"/>
              <w:right w:val="single" w:sz="4" w:space="0" w:color="auto"/>
            </w:tcBorders>
            <w:noWrap/>
            <w:vAlign w:val="bottom"/>
            <w:hideMark/>
          </w:tcPr>
          <w:p w14:paraId="5541CEC7"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43.7</w:t>
            </w:r>
          </w:p>
        </w:tc>
        <w:tc>
          <w:tcPr>
            <w:tcW w:w="585" w:type="dxa"/>
            <w:tcBorders>
              <w:top w:val="nil"/>
              <w:left w:val="nil"/>
              <w:bottom w:val="single" w:sz="4" w:space="0" w:color="auto"/>
              <w:right w:val="single" w:sz="4" w:space="0" w:color="auto"/>
            </w:tcBorders>
            <w:noWrap/>
            <w:vAlign w:val="bottom"/>
            <w:hideMark/>
          </w:tcPr>
          <w:p w14:paraId="58A695FD"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42.7</w:t>
            </w:r>
          </w:p>
        </w:tc>
        <w:tc>
          <w:tcPr>
            <w:tcW w:w="535" w:type="dxa"/>
            <w:tcBorders>
              <w:top w:val="nil"/>
              <w:left w:val="nil"/>
              <w:bottom w:val="single" w:sz="4" w:space="0" w:color="auto"/>
              <w:right w:val="single" w:sz="4" w:space="0" w:color="auto"/>
            </w:tcBorders>
            <w:noWrap/>
            <w:vAlign w:val="bottom"/>
            <w:hideMark/>
          </w:tcPr>
          <w:p w14:paraId="09D4E1C1"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 42.1</w:t>
            </w:r>
          </w:p>
        </w:tc>
      </w:tr>
      <w:tr w:rsidR="00020251" w:rsidRPr="00E45CD5" w14:paraId="0DBEE1AE" w14:textId="77777777" w:rsidTr="000071E5">
        <w:trPr>
          <w:trHeight w:val="60"/>
        </w:trPr>
        <w:tc>
          <w:tcPr>
            <w:tcW w:w="985" w:type="dxa"/>
            <w:tcBorders>
              <w:top w:val="nil"/>
              <w:left w:val="single" w:sz="4" w:space="0" w:color="auto"/>
              <w:bottom w:val="single" w:sz="4" w:space="0" w:color="auto"/>
              <w:right w:val="single" w:sz="4" w:space="0" w:color="auto"/>
            </w:tcBorders>
            <w:noWrap/>
            <w:vAlign w:val="bottom"/>
            <w:hideMark/>
          </w:tcPr>
          <w:p w14:paraId="6B1D5BFF"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Globaal</w:t>
            </w:r>
          </w:p>
        </w:tc>
        <w:tc>
          <w:tcPr>
            <w:tcW w:w="729" w:type="dxa"/>
            <w:tcBorders>
              <w:top w:val="nil"/>
              <w:left w:val="nil"/>
              <w:bottom w:val="single" w:sz="4" w:space="0" w:color="auto"/>
              <w:right w:val="single" w:sz="4" w:space="0" w:color="auto"/>
            </w:tcBorders>
            <w:noWrap/>
            <w:vAlign w:val="bottom"/>
            <w:hideMark/>
          </w:tcPr>
          <w:p w14:paraId="605F2B3D"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48.4</w:t>
            </w:r>
          </w:p>
        </w:tc>
        <w:tc>
          <w:tcPr>
            <w:tcW w:w="709" w:type="dxa"/>
            <w:tcBorders>
              <w:top w:val="nil"/>
              <w:left w:val="nil"/>
              <w:bottom w:val="single" w:sz="4" w:space="0" w:color="auto"/>
              <w:right w:val="single" w:sz="4" w:space="0" w:color="auto"/>
            </w:tcBorders>
            <w:noWrap/>
            <w:vAlign w:val="bottom"/>
            <w:hideMark/>
          </w:tcPr>
          <w:p w14:paraId="3E0AA8B0"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50.2</w:t>
            </w:r>
          </w:p>
        </w:tc>
        <w:tc>
          <w:tcPr>
            <w:tcW w:w="709" w:type="dxa"/>
            <w:tcBorders>
              <w:top w:val="nil"/>
              <w:left w:val="nil"/>
              <w:bottom w:val="single" w:sz="4" w:space="0" w:color="auto"/>
              <w:right w:val="single" w:sz="4" w:space="0" w:color="auto"/>
            </w:tcBorders>
            <w:noWrap/>
            <w:vAlign w:val="bottom"/>
            <w:hideMark/>
          </w:tcPr>
          <w:p w14:paraId="39F6467F"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50.3</w:t>
            </w:r>
          </w:p>
        </w:tc>
        <w:tc>
          <w:tcPr>
            <w:tcW w:w="709" w:type="dxa"/>
            <w:tcBorders>
              <w:top w:val="nil"/>
              <w:left w:val="nil"/>
              <w:bottom w:val="single" w:sz="4" w:space="0" w:color="auto"/>
              <w:right w:val="single" w:sz="4" w:space="0" w:color="auto"/>
            </w:tcBorders>
            <w:noWrap/>
            <w:vAlign w:val="bottom"/>
            <w:hideMark/>
          </w:tcPr>
          <w:p w14:paraId="37FB58D1"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49.8</w:t>
            </w:r>
          </w:p>
        </w:tc>
        <w:tc>
          <w:tcPr>
            <w:tcW w:w="708" w:type="dxa"/>
            <w:tcBorders>
              <w:top w:val="nil"/>
              <w:left w:val="nil"/>
              <w:bottom w:val="single" w:sz="4" w:space="0" w:color="auto"/>
              <w:right w:val="single" w:sz="4" w:space="0" w:color="auto"/>
            </w:tcBorders>
            <w:noWrap/>
            <w:vAlign w:val="bottom"/>
            <w:hideMark/>
          </w:tcPr>
          <w:p w14:paraId="408B2C3B"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46.5</w:t>
            </w:r>
          </w:p>
        </w:tc>
        <w:tc>
          <w:tcPr>
            <w:tcW w:w="709" w:type="dxa"/>
            <w:tcBorders>
              <w:top w:val="nil"/>
              <w:left w:val="nil"/>
              <w:bottom w:val="single" w:sz="4" w:space="0" w:color="auto"/>
              <w:right w:val="single" w:sz="4" w:space="0" w:color="auto"/>
            </w:tcBorders>
            <w:noWrap/>
            <w:vAlign w:val="bottom"/>
            <w:hideMark/>
          </w:tcPr>
          <w:p w14:paraId="362CB943"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46.3</w:t>
            </w:r>
          </w:p>
        </w:tc>
        <w:tc>
          <w:tcPr>
            <w:tcW w:w="709" w:type="dxa"/>
            <w:tcBorders>
              <w:top w:val="nil"/>
              <w:left w:val="nil"/>
              <w:bottom w:val="single" w:sz="4" w:space="0" w:color="auto"/>
              <w:right w:val="single" w:sz="4" w:space="0" w:color="auto"/>
            </w:tcBorders>
            <w:noWrap/>
            <w:vAlign w:val="bottom"/>
            <w:hideMark/>
          </w:tcPr>
          <w:p w14:paraId="6CCC1368"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46.1</w:t>
            </w:r>
          </w:p>
        </w:tc>
        <w:tc>
          <w:tcPr>
            <w:tcW w:w="709" w:type="dxa"/>
            <w:tcBorders>
              <w:top w:val="nil"/>
              <w:left w:val="nil"/>
              <w:bottom w:val="single" w:sz="4" w:space="0" w:color="auto"/>
              <w:right w:val="single" w:sz="4" w:space="0" w:color="auto"/>
            </w:tcBorders>
            <w:noWrap/>
            <w:vAlign w:val="bottom"/>
            <w:hideMark/>
          </w:tcPr>
          <w:p w14:paraId="6C117557"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46.0</w:t>
            </w:r>
          </w:p>
        </w:tc>
        <w:tc>
          <w:tcPr>
            <w:tcW w:w="585" w:type="dxa"/>
            <w:tcBorders>
              <w:top w:val="nil"/>
              <w:left w:val="nil"/>
              <w:bottom w:val="single" w:sz="4" w:space="0" w:color="auto"/>
              <w:right w:val="single" w:sz="4" w:space="0" w:color="auto"/>
            </w:tcBorders>
            <w:noWrap/>
            <w:vAlign w:val="bottom"/>
            <w:hideMark/>
          </w:tcPr>
          <w:p w14:paraId="74CF6E7B"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46.2</w:t>
            </w:r>
          </w:p>
        </w:tc>
        <w:tc>
          <w:tcPr>
            <w:tcW w:w="535" w:type="dxa"/>
            <w:tcBorders>
              <w:top w:val="nil"/>
              <w:left w:val="nil"/>
              <w:bottom w:val="single" w:sz="4" w:space="0" w:color="auto"/>
              <w:right w:val="single" w:sz="4" w:space="0" w:color="auto"/>
            </w:tcBorders>
            <w:noWrap/>
            <w:vAlign w:val="bottom"/>
            <w:hideMark/>
          </w:tcPr>
          <w:p w14:paraId="54CE69D5"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 45.7</w:t>
            </w:r>
          </w:p>
        </w:tc>
      </w:tr>
    </w:tbl>
    <w:p w14:paraId="6EE486C2" w14:textId="77777777" w:rsidR="00020251" w:rsidRPr="00E45CD5" w:rsidRDefault="00020251" w:rsidP="00020251">
      <w:pPr>
        <w:spacing w:line="240" w:lineRule="auto"/>
        <w:ind w:left="284"/>
        <w:jc w:val="both"/>
        <w:rPr>
          <w:rFonts w:ascii="Arial" w:hAnsi="Arial" w:cs="Arial"/>
          <w:sz w:val="20"/>
          <w:szCs w:val="20"/>
        </w:rPr>
      </w:pPr>
    </w:p>
    <w:p w14:paraId="5012A34E"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 xml:space="preserve">Bovenstaande tabel toont inderdaad aan dat de globale gemiddelde leeftijd van de gekozenen vanaf 1970 afnam. De verkiezingen van 1994 vormden hierop een uitzondering. Toen nam de gemiddelde leeftijd van de gekozenen terug lichtjes toe. In 2000 zette de verjongingstrend zich echter terug door. </w:t>
      </w:r>
    </w:p>
    <w:p w14:paraId="760FD7A7" w14:textId="77777777" w:rsidR="00020251" w:rsidRPr="00E45CD5" w:rsidRDefault="00020251" w:rsidP="00020251">
      <w:pPr>
        <w:spacing w:line="240" w:lineRule="auto"/>
        <w:ind w:left="284"/>
        <w:jc w:val="both"/>
        <w:rPr>
          <w:rFonts w:ascii="Arial" w:hAnsi="Arial" w:cs="Arial"/>
          <w:sz w:val="20"/>
          <w:szCs w:val="20"/>
        </w:rPr>
      </w:pPr>
    </w:p>
    <w:p w14:paraId="58D10638"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 xml:space="preserve">Om deze daling van de gemiddelde leeftijd van de lokale gekozenen te verklaren, werd de evolutie van de leeftijdsstructuur geanalyseerd. Deze analyse maakte al snel duidelijk dat vanaf 1970 vooral het aandeel van de -35 jarigen steeg terwijl het aandeel van de 60-plussers daalde. </w:t>
      </w:r>
    </w:p>
    <w:p w14:paraId="65E8898D" w14:textId="77777777" w:rsidR="00020251" w:rsidRPr="00E45CD5" w:rsidRDefault="00020251" w:rsidP="00020251">
      <w:pPr>
        <w:spacing w:line="240" w:lineRule="auto"/>
        <w:ind w:left="284"/>
        <w:jc w:val="both"/>
        <w:rPr>
          <w:rFonts w:ascii="Arial" w:hAnsi="Arial" w:cs="Arial"/>
          <w:sz w:val="20"/>
          <w:szCs w:val="20"/>
        </w:rPr>
      </w:pPr>
    </w:p>
    <w:p w14:paraId="24F1E60D"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 xml:space="preserve">Uit de analyse kwam tevens naar voor dat in ieder verkiezingsjaar de politieke participatie steeg naarmate de leeftijd toenam, haar hoogtepunt bereikte bij de personen van middelbare leeftijd en van dan af verminderde naarmate we in de oudere leeftijdscategorieën kwamen. </w:t>
      </w:r>
    </w:p>
    <w:p w14:paraId="6F1355EA" w14:textId="77777777" w:rsidR="00020251" w:rsidRPr="00E45CD5" w:rsidRDefault="00020251" w:rsidP="00020251">
      <w:pPr>
        <w:spacing w:line="240" w:lineRule="auto"/>
        <w:ind w:left="284"/>
        <w:jc w:val="both"/>
        <w:rPr>
          <w:rFonts w:ascii="Arial" w:hAnsi="Arial" w:cs="Arial"/>
          <w:sz w:val="20"/>
          <w:szCs w:val="20"/>
        </w:rPr>
      </w:pPr>
    </w:p>
    <w:p w14:paraId="53D3E000" w14:textId="77777777" w:rsidR="00020251" w:rsidRPr="00E45CD5" w:rsidRDefault="00020251" w:rsidP="00020251">
      <w:pPr>
        <w:spacing w:line="240" w:lineRule="auto"/>
        <w:jc w:val="both"/>
        <w:rPr>
          <w:rFonts w:ascii="Arial" w:hAnsi="Arial" w:cs="Arial"/>
          <w:b/>
          <w:sz w:val="20"/>
          <w:szCs w:val="20"/>
        </w:rPr>
      </w:pPr>
      <w:r w:rsidRPr="00E45CD5">
        <w:rPr>
          <w:rFonts w:ascii="Arial" w:hAnsi="Arial" w:cs="Arial"/>
          <w:b/>
          <w:sz w:val="20"/>
          <w:szCs w:val="20"/>
        </w:rPr>
        <w:t>Correcte manier van weergeven</w:t>
      </w:r>
    </w:p>
    <w:p w14:paraId="024552B8" w14:textId="77777777" w:rsidR="00020251" w:rsidRPr="00E45CD5" w:rsidRDefault="00020251" w:rsidP="00020251">
      <w:pPr>
        <w:spacing w:line="240" w:lineRule="auto"/>
        <w:ind w:left="284"/>
        <w:jc w:val="both"/>
        <w:rPr>
          <w:rFonts w:ascii="Arial" w:hAnsi="Arial" w:cs="Arial"/>
          <w:b/>
          <w:sz w:val="20"/>
          <w:szCs w:val="20"/>
        </w:rPr>
      </w:pPr>
    </w:p>
    <w:p w14:paraId="388313D8"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 xml:space="preserve">Eerder onderzoek naar het profiel van de gemeenteraadsleden in een representatief staal van 100 Vlaamse gemeenten in de periode 1946-2000, toonde aan dat er in de leeftijd van de lokale gekozenen in Vlaanderen wel degelijk gewag kan worden gemaakt van een evolutie. Zo stelden Reynaert, Steyvers en Verlet (2006, pp. 47-49) vast dat de gemeenteraadsleden verkiezing na verkiezing jonger werden. Sleuteljaar hierin was 1970. In dat jaar was er namelijk sprake van een beduidende verjonging. De verlaging van de kiesgerechtigde leeftijd van 21 naar 18 jaar en van de verkiesbaarheidsleeftijd van 25 naar 21 jaar lagen vanzelfsprekend mede aan de basis van deze daling. Deze wetten openden de deur voor de jongeren maar verzekerden uiteraard niet dat ze effectief een plaats verwierven in het lokaal bestuur. </w:t>
      </w:r>
    </w:p>
    <w:p w14:paraId="179D0563" w14:textId="77777777" w:rsidR="00020251" w:rsidRPr="00E45CD5" w:rsidRDefault="00020251" w:rsidP="00020251">
      <w:pPr>
        <w:spacing w:line="240" w:lineRule="auto"/>
        <w:ind w:left="284"/>
        <w:jc w:val="both"/>
        <w:rPr>
          <w:rFonts w:ascii="Arial" w:hAnsi="Arial" w:cs="Arial"/>
          <w:sz w:val="20"/>
          <w:szCs w:val="20"/>
        </w:rPr>
      </w:pPr>
    </w:p>
    <w:p w14:paraId="7DE46F1E"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Een tweede vaststelling uit datzelfde onderzoek was verder dat de gemiddelde leeftijd van de vrouwelijke gekozenen in ieder verkiezingsjaar lager lag dan de gemiddelde leeftijd van de mannelijke gekozenen. Tabel 34 geeft daarom een duidelijk beeld van de evolutie van de gemiddelde leeftijd per verkiezingsjaar en van de evolutie van de gemiddelde leeftijd per verkiezingsjaar naar geslacht.</w:t>
      </w:r>
    </w:p>
    <w:p w14:paraId="3F87CF07" w14:textId="77777777" w:rsidR="00020251" w:rsidRPr="00E45CD5" w:rsidRDefault="00020251" w:rsidP="00020251">
      <w:pPr>
        <w:tabs>
          <w:tab w:val="left" w:pos="0"/>
        </w:tabs>
        <w:spacing w:line="240" w:lineRule="auto"/>
        <w:ind w:left="284"/>
        <w:jc w:val="both"/>
        <w:rPr>
          <w:rFonts w:ascii="Arial" w:hAnsi="Arial" w:cs="Arial"/>
          <w:bCs/>
          <w:iCs/>
          <w:sz w:val="20"/>
          <w:szCs w:val="20"/>
        </w:rPr>
      </w:pPr>
    </w:p>
    <w:p w14:paraId="581E2691" w14:textId="77777777" w:rsidR="00020251" w:rsidRDefault="00020251" w:rsidP="00020251">
      <w:pPr>
        <w:tabs>
          <w:tab w:val="left" w:pos="0"/>
        </w:tabs>
        <w:spacing w:line="240" w:lineRule="auto"/>
        <w:jc w:val="both"/>
        <w:rPr>
          <w:rFonts w:ascii="Arial" w:hAnsi="Arial" w:cs="Arial"/>
          <w:b/>
          <w:bCs/>
          <w:iCs/>
          <w:sz w:val="20"/>
          <w:szCs w:val="20"/>
        </w:rPr>
      </w:pPr>
    </w:p>
    <w:p w14:paraId="17BA7F84" w14:textId="77777777" w:rsidR="00020251" w:rsidRDefault="00020251" w:rsidP="00020251">
      <w:pPr>
        <w:tabs>
          <w:tab w:val="left" w:pos="0"/>
        </w:tabs>
        <w:spacing w:line="240" w:lineRule="auto"/>
        <w:jc w:val="both"/>
        <w:rPr>
          <w:rFonts w:ascii="Arial" w:hAnsi="Arial" w:cs="Arial"/>
          <w:b/>
          <w:bCs/>
          <w:iCs/>
          <w:sz w:val="20"/>
          <w:szCs w:val="20"/>
        </w:rPr>
      </w:pPr>
    </w:p>
    <w:p w14:paraId="68BAA193" w14:textId="77777777" w:rsidR="00020251" w:rsidRDefault="00020251" w:rsidP="00020251">
      <w:pPr>
        <w:tabs>
          <w:tab w:val="left" w:pos="0"/>
        </w:tabs>
        <w:spacing w:line="240" w:lineRule="auto"/>
        <w:jc w:val="both"/>
        <w:rPr>
          <w:rFonts w:ascii="Arial" w:hAnsi="Arial" w:cs="Arial"/>
          <w:b/>
          <w:bCs/>
          <w:iCs/>
          <w:sz w:val="20"/>
          <w:szCs w:val="20"/>
        </w:rPr>
      </w:pPr>
    </w:p>
    <w:p w14:paraId="5AD56E33" w14:textId="77777777" w:rsidR="00020251" w:rsidRDefault="00020251" w:rsidP="00020251">
      <w:pPr>
        <w:tabs>
          <w:tab w:val="left" w:pos="0"/>
        </w:tabs>
        <w:spacing w:line="240" w:lineRule="auto"/>
        <w:jc w:val="both"/>
        <w:rPr>
          <w:rFonts w:ascii="Arial" w:hAnsi="Arial" w:cs="Arial"/>
          <w:b/>
          <w:bCs/>
          <w:iCs/>
          <w:sz w:val="20"/>
          <w:szCs w:val="20"/>
        </w:rPr>
      </w:pPr>
    </w:p>
    <w:p w14:paraId="48F186A6" w14:textId="77777777" w:rsidR="00020251" w:rsidRDefault="00020251" w:rsidP="00020251">
      <w:pPr>
        <w:tabs>
          <w:tab w:val="left" w:pos="0"/>
        </w:tabs>
        <w:spacing w:line="240" w:lineRule="auto"/>
        <w:jc w:val="both"/>
        <w:rPr>
          <w:rFonts w:ascii="Arial" w:hAnsi="Arial" w:cs="Arial"/>
          <w:b/>
          <w:bCs/>
          <w:iCs/>
          <w:sz w:val="20"/>
          <w:szCs w:val="20"/>
        </w:rPr>
      </w:pPr>
    </w:p>
    <w:p w14:paraId="74C76C43" w14:textId="77777777" w:rsidR="00020251" w:rsidRPr="00E45CD5" w:rsidRDefault="00020251" w:rsidP="00020251">
      <w:pPr>
        <w:tabs>
          <w:tab w:val="left" w:pos="0"/>
        </w:tabs>
        <w:spacing w:line="240" w:lineRule="auto"/>
        <w:jc w:val="both"/>
        <w:rPr>
          <w:rFonts w:ascii="Arial" w:hAnsi="Arial" w:cs="Arial"/>
          <w:bCs/>
          <w:iCs/>
          <w:sz w:val="20"/>
          <w:szCs w:val="20"/>
        </w:rPr>
      </w:pPr>
      <w:r w:rsidRPr="00E45CD5">
        <w:rPr>
          <w:rFonts w:ascii="Arial" w:hAnsi="Arial" w:cs="Arial"/>
          <w:b/>
          <w:bCs/>
          <w:iCs/>
          <w:sz w:val="20"/>
          <w:szCs w:val="20"/>
        </w:rPr>
        <w:lastRenderedPageBreak/>
        <w:t xml:space="preserve">Tabel 34: </w:t>
      </w:r>
      <w:r w:rsidRPr="00E45CD5">
        <w:rPr>
          <w:rFonts w:ascii="Arial" w:hAnsi="Arial" w:cs="Arial"/>
          <w:bCs/>
          <w:iCs/>
          <w:sz w:val="20"/>
          <w:szCs w:val="20"/>
        </w:rPr>
        <w:t>De gemiddelde leeftijd van de mannelijke en vrouwelijke lokale gekozenen in Vlaanderen 1946-2006. (Reynaert, Steyvers en Verlet, 2006, p. 48)</w:t>
      </w:r>
    </w:p>
    <w:p w14:paraId="21913E01" w14:textId="77777777" w:rsidR="00020251" w:rsidRPr="00E45CD5" w:rsidRDefault="00020251" w:rsidP="00020251">
      <w:pPr>
        <w:tabs>
          <w:tab w:val="left" w:pos="0"/>
        </w:tabs>
        <w:spacing w:line="240" w:lineRule="auto"/>
        <w:ind w:left="284"/>
        <w:jc w:val="both"/>
        <w:rPr>
          <w:rFonts w:ascii="Arial" w:hAnsi="Arial" w:cs="Arial"/>
          <w:bCs/>
          <w:iCs/>
          <w:sz w:val="20"/>
          <w:szCs w:val="20"/>
        </w:rPr>
      </w:pPr>
    </w:p>
    <w:tbl>
      <w:tblPr>
        <w:tblW w:w="8331" w:type="dxa"/>
        <w:tblInd w:w="354" w:type="dxa"/>
        <w:tblCellMar>
          <w:left w:w="70" w:type="dxa"/>
          <w:right w:w="70" w:type="dxa"/>
        </w:tblCellMar>
        <w:tblLook w:val="04A0" w:firstRow="1" w:lastRow="0" w:firstColumn="1" w:lastColumn="0" w:noHBand="0" w:noVBand="1"/>
      </w:tblPr>
      <w:tblGrid>
        <w:gridCol w:w="985"/>
        <w:gridCol w:w="729"/>
        <w:gridCol w:w="709"/>
        <w:gridCol w:w="709"/>
        <w:gridCol w:w="709"/>
        <w:gridCol w:w="708"/>
        <w:gridCol w:w="709"/>
        <w:gridCol w:w="709"/>
        <w:gridCol w:w="709"/>
        <w:gridCol w:w="585"/>
        <w:gridCol w:w="585"/>
        <w:gridCol w:w="585"/>
      </w:tblGrid>
      <w:tr w:rsidR="00020251" w:rsidRPr="00E45CD5" w14:paraId="16133671" w14:textId="77777777" w:rsidTr="000071E5">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462FC"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 </w:t>
            </w:r>
          </w:p>
        </w:tc>
        <w:tc>
          <w:tcPr>
            <w:tcW w:w="729" w:type="dxa"/>
            <w:tcBorders>
              <w:top w:val="single" w:sz="4" w:space="0" w:color="auto"/>
              <w:left w:val="nil"/>
              <w:bottom w:val="single" w:sz="4" w:space="0" w:color="auto"/>
              <w:right w:val="single" w:sz="4" w:space="0" w:color="auto"/>
            </w:tcBorders>
            <w:shd w:val="clear" w:color="auto" w:fill="auto"/>
            <w:noWrap/>
            <w:vAlign w:val="bottom"/>
          </w:tcPr>
          <w:p w14:paraId="2F564759"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1946</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BFBE718"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1952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9DD3B51"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1958</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73963BA"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1964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FB38D1E"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1970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6399ABC"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1976</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AF1C1D0"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1982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7A52626"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1988</w:t>
            </w:r>
          </w:p>
        </w:tc>
        <w:tc>
          <w:tcPr>
            <w:tcW w:w="585" w:type="dxa"/>
            <w:tcBorders>
              <w:top w:val="single" w:sz="4" w:space="0" w:color="auto"/>
              <w:left w:val="nil"/>
              <w:bottom w:val="single" w:sz="4" w:space="0" w:color="auto"/>
              <w:right w:val="single" w:sz="4" w:space="0" w:color="auto"/>
            </w:tcBorders>
            <w:shd w:val="clear" w:color="auto" w:fill="auto"/>
            <w:noWrap/>
            <w:vAlign w:val="bottom"/>
          </w:tcPr>
          <w:p w14:paraId="75B554B2"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1994</w:t>
            </w:r>
          </w:p>
        </w:tc>
        <w:tc>
          <w:tcPr>
            <w:tcW w:w="535" w:type="dxa"/>
            <w:tcBorders>
              <w:top w:val="single" w:sz="4" w:space="0" w:color="auto"/>
              <w:left w:val="nil"/>
              <w:bottom w:val="single" w:sz="4" w:space="0" w:color="auto"/>
              <w:right w:val="single" w:sz="4" w:space="0" w:color="auto"/>
            </w:tcBorders>
            <w:shd w:val="clear" w:color="auto" w:fill="auto"/>
            <w:noWrap/>
            <w:vAlign w:val="bottom"/>
          </w:tcPr>
          <w:p w14:paraId="487F2926"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2000</w:t>
            </w:r>
          </w:p>
        </w:tc>
        <w:tc>
          <w:tcPr>
            <w:tcW w:w="535" w:type="dxa"/>
            <w:tcBorders>
              <w:top w:val="single" w:sz="4" w:space="0" w:color="auto"/>
              <w:left w:val="nil"/>
              <w:bottom w:val="single" w:sz="4" w:space="0" w:color="auto"/>
              <w:right w:val="single" w:sz="4" w:space="0" w:color="auto"/>
            </w:tcBorders>
          </w:tcPr>
          <w:p w14:paraId="515A73A4"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2006</w:t>
            </w:r>
          </w:p>
        </w:tc>
      </w:tr>
      <w:tr w:rsidR="00020251" w:rsidRPr="00E45CD5" w14:paraId="7230CA70" w14:textId="77777777" w:rsidTr="000071E5">
        <w:trPr>
          <w:trHeight w:val="89"/>
        </w:trPr>
        <w:tc>
          <w:tcPr>
            <w:tcW w:w="985" w:type="dxa"/>
            <w:tcBorders>
              <w:top w:val="nil"/>
              <w:left w:val="single" w:sz="4" w:space="0" w:color="auto"/>
              <w:bottom w:val="single" w:sz="4" w:space="0" w:color="auto"/>
              <w:right w:val="single" w:sz="4" w:space="0" w:color="auto"/>
            </w:tcBorders>
            <w:shd w:val="clear" w:color="auto" w:fill="auto"/>
            <w:noWrap/>
            <w:vAlign w:val="bottom"/>
          </w:tcPr>
          <w:p w14:paraId="7A1C5B0C"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Mannen</w:t>
            </w:r>
          </w:p>
        </w:tc>
        <w:tc>
          <w:tcPr>
            <w:tcW w:w="729" w:type="dxa"/>
            <w:tcBorders>
              <w:top w:val="nil"/>
              <w:left w:val="nil"/>
              <w:bottom w:val="single" w:sz="4" w:space="0" w:color="auto"/>
              <w:right w:val="single" w:sz="4" w:space="0" w:color="auto"/>
            </w:tcBorders>
            <w:shd w:val="clear" w:color="auto" w:fill="auto"/>
            <w:noWrap/>
            <w:vAlign w:val="bottom"/>
          </w:tcPr>
          <w:p w14:paraId="2CDDDEEF"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48.4</w:t>
            </w:r>
          </w:p>
        </w:tc>
        <w:tc>
          <w:tcPr>
            <w:tcW w:w="709" w:type="dxa"/>
            <w:tcBorders>
              <w:top w:val="nil"/>
              <w:left w:val="nil"/>
              <w:bottom w:val="single" w:sz="4" w:space="0" w:color="auto"/>
              <w:right w:val="single" w:sz="4" w:space="0" w:color="auto"/>
            </w:tcBorders>
            <w:shd w:val="clear" w:color="auto" w:fill="auto"/>
            <w:noWrap/>
            <w:vAlign w:val="bottom"/>
          </w:tcPr>
          <w:p w14:paraId="56BE4F2A"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50.3</w:t>
            </w:r>
          </w:p>
        </w:tc>
        <w:tc>
          <w:tcPr>
            <w:tcW w:w="709" w:type="dxa"/>
            <w:tcBorders>
              <w:top w:val="nil"/>
              <w:left w:val="nil"/>
              <w:bottom w:val="single" w:sz="4" w:space="0" w:color="auto"/>
              <w:right w:val="single" w:sz="4" w:space="0" w:color="auto"/>
            </w:tcBorders>
            <w:shd w:val="clear" w:color="auto" w:fill="auto"/>
            <w:noWrap/>
            <w:vAlign w:val="bottom"/>
          </w:tcPr>
          <w:p w14:paraId="5DEFDE04"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50.4</w:t>
            </w:r>
          </w:p>
        </w:tc>
        <w:tc>
          <w:tcPr>
            <w:tcW w:w="709" w:type="dxa"/>
            <w:tcBorders>
              <w:top w:val="nil"/>
              <w:left w:val="nil"/>
              <w:bottom w:val="single" w:sz="4" w:space="0" w:color="auto"/>
              <w:right w:val="single" w:sz="4" w:space="0" w:color="auto"/>
            </w:tcBorders>
            <w:shd w:val="clear" w:color="auto" w:fill="auto"/>
            <w:noWrap/>
            <w:vAlign w:val="bottom"/>
          </w:tcPr>
          <w:p w14:paraId="56251E89"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49.8</w:t>
            </w:r>
          </w:p>
        </w:tc>
        <w:tc>
          <w:tcPr>
            <w:tcW w:w="708" w:type="dxa"/>
            <w:tcBorders>
              <w:top w:val="nil"/>
              <w:left w:val="nil"/>
              <w:bottom w:val="single" w:sz="4" w:space="0" w:color="auto"/>
              <w:right w:val="single" w:sz="4" w:space="0" w:color="auto"/>
            </w:tcBorders>
            <w:shd w:val="clear" w:color="auto" w:fill="auto"/>
            <w:noWrap/>
            <w:vAlign w:val="bottom"/>
          </w:tcPr>
          <w:p w14:paraId="69115ADD"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46.8</w:t>
            </w:r>
          </w:p>
        </w:tc>
        <w:tc>
          <w:tcPr>
            <w:tcW w:w="709" w:type="dxa"/>
            <w:tcBorders>
              <w:top w:val="nil"/>
              <w:left w:val="nil"/>
              <w:bottom w:val="single" w:sz="4" w:space="0" w:color="auto"/>
              <w:right w:val="single" w:sz="4" w:space="0" w:color="auto"/>
            </w:tcBorders>
            <w:shd w:val="clear" w:color="auto" w:fill="auto"/>
            <w:noWrap/>
            <w:vAlign w:val="bottom"/>
          </w:tcPr>
          <w:p w14:paraId="59D7BC1B"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46.6</w:t>
            </w:r>
          </w:p>
        </w:tc>
        <w:tc>
          <w:tcPr>
            <w:tcW w:w="709" w:type="dxa"/>
            <w:tcBorders>
              <w:top w:val="nil"/>
              <w:left w:val="nil"/>
              <w:bottom w:val="single" w:sz="4" w:space="0" w:color="auto"/>
              <w:right w:val="single" w:sz="4" w:space="0" w:color="auto"/>
            </w:tcBorders>
            <w:shd w:val="clear" w:color="auto" w:fill="auto"/>
            <w:noWrap/>
            <w:vAlign w:val="bottom"/>
          </w:tcPr>
          <w:p w14:paraId="44584042"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46.2</w:t>
            </w:r>
          </w:p>
        </w:tc>
        <w:tc>
          <w:tcPr>
            <w:tcW w:w="709" w:type="dxa"/>
            <w:tcBorders>
              <w:top w:val="nil"/>
              <w:left w:val="nil"/>
              <w:bottom w:val="single" w:sz="4" w:space="0" w:color="auto"/>
              <w:right w:val="single" w:sz="4" w:space="0" w:color="auto"/>
            </w:tcBorders>
            <w:shd w:val="clear" w:color="auto" w:fill="auto"/>
            <w:noWrap/>
            <w:vAlign w:val="bottom"/>
          </w:tcPr>
          <w:p w14:paraId="08A605C3"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46.5</w:t>
            </w:r>
          </w:p>
        </w:tc>
        <w:tc>
          <w:tcPr>
            <w:tcW w:w="585" w:type="dxa"/>
            <w:tcBorders>
              <w:top w:val="nil"/>
              <w:left w:val="nil"/>
              <w:bottom w:val="single" w:sz="4" w:space="0" w:color="auto"/>
              <w:right w:val="single" w:sz="4" w:space="0" w:color="auto"/>
            </w:tcBorders>
            <w:shd w:val="clear" w:color="auto" w:fill="auto"/>
            <w:noWrap/>
            <w:vAlign w:val="bottom"/>
          </w:tcPr>
          <w:p w14:paraId="6437BEE3"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47.2</w:t>
            </w:r>
          </w:p>
        </w:tc>
        <w:tc>
          <w:tcPr>
            <w:tcW w:w="535" w:type="dxa"/>
            <w:tcBorders>
              <w:top w:val="nil"/>
              <w:left w:val="nil"/>
              <w:bottom w:val="single" w:sz="4" w:space="0" w:color="auto"/>
              <w:right w:val="single" w:sz="4" w:space="0" w:color="auto"/>
            </w:tcBorders>
            <w:shd w:val="clear" w:color="auto" w:fill="auto"/>
            <w:noWrap/>
            <w:vAlign w:val="bottom"/>
          </w:tcPr>
          <w:p w14:paraId="49A2FB62"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 47.3</w:t>
            </w:r>
          </w:p>
        </w:tc>
        <w:tc>
          <w:tcPr>
            <w:tcW w:w="535" w:type="dxa"/>
            <w:tcBorders>
              <w:top w:val="nil"/>
              <w:left w:val="nil"/>
              <w:bottom w:val="single" w:sz="4" w:space="0" w:color="auto"/>
              <w:right w:val="single" w:sz="4" w:space="0" w:color="auto"/>
            </w:tcBorders>
          </w:tcPr>
          <w:p w14:paraId="0C92AE2E"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48.9</w:t>
            </w:r>
          </w:p>
        </w:tc>
      </w:tr>
      <w:tr w:rsidR="00020251" w:rsidRPr="00E45CD5" w14:paraId="0D543CC4" w14:textId="77777777" w:rsidTr="000071E5">
        <w:trPr>
          <w:trHeight w:val="64"/>
        </w:trPr>
        <w:tc>
          <w:tcPr>
            <w:tcW w:w="985" w:type="dxa"/>
            <w:tcBorders>
              <w:top w:val="nil"/>
              <w:left w:val="single" w:sz="4" w:space="0" w:color="auto"/>
              <w:bottom w:val="single" w:sz="4" w:space="0" w:color="auto"/>
              <w:right w:val="single" w:sz="4" w:space="0" w:color="auto"/>
            </w:tcBorders>
            <w:shd w:val="clear" w:color="auto" w:fill="auto"/>
            <w:noWrap/>
            <w:vAlign w:val="bottom"/>
          </w:tcPr>
          <w:p w14:paraId="54D31F93"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Vrouwen</w:t>
            </w:r>
          </w:p>
        </w:tc>
        <w:tc>
          <w:tcPr>
            <w:tcW w:w="729" w:type="dxa"/>
            <w:tcBorders>
              <w:top w:val="nil"/>
              <w:left w:val="nil"/>
              <w:bottom w:val="single" w:sz="4" w:space="0" w:color="auto"/>
              <w:right w:val="single" w:sz="4" w:space="0" w:color="auto"/>
            </w:tcBorders>
            <w:shd w:val="clear" w:color="auto" w:fill="auto"/>
            <w:noWrap/>
            <w:vAlign w:val="bottom"/>
          </w:tcPr>
          <w:p w14:paraId="426F3207"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46.9</w:t>
            </w:r>
          </w:p>
        </w:tc>
        <w:tc>
          <w:tcPr>
            <w:tcW w:w="709" w:type="dxa"/>
            <w:tcBorders>
              <w:top w:val="nil"/>
              <w:left w:val="nil"/>
              <w:bottom w:val="single" w:sz="4" w:space="0" w:color="auto"/>
              <w:right w:val="single" w:sz="4" w:space="0" w:color="auto"/>
            </w:tcBorders>
            <w:shd w:val="clear" w:color="auto" w:fill="auto"/>
            <w:noWrap/>
            <w:vAlign w:val="bottom"/>
          </w:tcPr>
          <w:p w14:paraId="3EDF1866"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48.5</w:t>
            </w:r>
          </w:p>
        </w:tc>
        <w:tc>
          <w:tcPr>
            <w:tcW w:w="709" w:type="dxa"/>
            <w:tcBorders>
              <w:top w:val="nil"/>
              <w:left w:val="nil"/>
              <w:bottom w:val="single" w:sz="4" w:space="0" w:color="auto"/>
              <w:right w:val="single" w:sz="4" w:space="0" w:color="auto"/>
            </w:tcBorders>
            <w:shd w:val="clear" w:color="auto" w:fill="auto"/>
            <w:noWrap/>
            <w:vAlign w:val="bottom"/>
          </w:tcPr>
          <w:p w14:paraId="0FB7E370"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49.6</w:t>
            </w:r>
          </w:p>
        </w:tc>
        <w:tc>
          <w:tcPr>
            <w:tcW w:w="709" w:type="dxa"/>
            <w:tcBorders>
              <w:top w:val="nil"/>
              <w:left w:val="nil"/>
              <w:bottom w:val="single" w:sz="4" w:space="0" w:color="auto"/>
              <w:right w:val="single" w:sz="4" w:space="0" w:color="auto"/>
            </w:tcBorders>
            <w:shd w:val="clear" w:color="auto" w:fill="auto"/>
            <w:noWrap/>
            <w:vAlign w:val="bottom"/>
          </w:tcPr>
          <w:p w14:paraId="1C9D061F"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49.7</w:t>
            </w:r>
          </w:p>
        </w:tc>
        <w:tc>
          <w:tcPr>
            <w:tcW w:w="708" w:type="dxa"/>
            <w:tcBorders>
              <w:top w:val="nil"/>
              <w:left w:val="nil"/>
              <w:bottom w:val="single" w:sz="4" w:space="0" w:color="auto"/>
              <w:right w:val="single" w:sz="4" w:space="0" w:color="auto"/>
            </w:tcBorders>
            <w:shd w:val="clear" w:color="auto" w:fill="auto"/>
            <w:noWrap/>
            <w:vAlign w:val="bottom"/>
          </w:tcPr>
          <w:p w14:paraId="4F00A336"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42.6</w:t>
            </w:r>
          </w:p>
        </w:tc>
        <w:tc>
          <w:tcPr>
            <w:tcW w:w="709" w:type="dxa"/>
            <w:tcBorders>
              <w:top w:val="nil"/>
              <w:left w:val="nil"/>
              <w:bottom w:val="single" w:sz="4" w:space="0" w:color="auto"/>
              <w:right w:val="single" w:sz="4" w:space="0" w:color="auto"/>
            </w:tcBorders>
            <w:shd w:val="clear" w:color="auto" w:fill="auto"/>
            <w:noWrap/>
            <w:vAlign w:val="bottom"/>
          </w:tcPr>
          <w:p w14:paraId="66822130"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44.0</w:t>
            </w:r>
          </w:p>
        </w:tc>
        <w:tc>
          <w:tcPr>
            <w:tcW w:w="709" w:type="dxa"/>
            <w:tcBorders>
              <w:top w:val="nil"/>
              <w:left w:val="nil"/>
              <w:bottom w:val="single" w:sz="4" w:space="0" w:color="auto"/>
              <w:right w:val="single" w:sz="4" w:space="0" w:color="auto"/>
            </w:tcBorders>
            <w:shd w:val="clear" w:color="auto" w:fill="auto"/>
            <w:noWrap/>
            <w:vAlign w:val="bottom"/>
          </w:tcPr>
          <w:p w14:paraId="29400EB9"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45.6</w:t>
            </w:r>
          </w:p>
        </w:tc>
        <w:tc>
          <w:tcPr>
            <w:tcW w:w="709" w:type="dxa"/>
            <w:tcBorders>
              <w:top w:val="nil"/>
              <w:left w:val="nil"/>
              <w:bottom w:val="single" w:sz="4" w:space="0" w:color="auto"/>
              <w:right w:val="single" w:sz="4" w:space="0" w:color="auto"/>
            </w:tcBorders>
            <w:shd w:val="clear" w:color="auto" w:fill="auto"/>
            <w:noWrap/>
            <w:vAlign w:val="bottom"/>
          </w:tcPr>
          <w:p w14:paraId="19819258"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43.7</w:t>
            </w:r>
          </w:p>
        </w:tc>
        <w:tc>
          <w:tcPr>
            <w:tcW w:w="585" w:type="dxa"/>
            <w:tcBorders>
              <w:top w:val="nil"/>
              <w:left w:val="nil"/>
              <w:bottom w:val="single" w:sz="4" w:space="0" w:color="auto"/>
              <w:right w:val="single" w:sz="4" w:space="0" w:color="auto"/>
            </w:tcBorders>
            <w:shd w:val="clear" w:color="auto" w:fill="auto"/>
            <w:noWrap/>
            <w:vAlign w:val="bottom"/>
          </w:tcPr>
          <w:p w14:paraId="1AD80A38"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42.7</w:t>
            </w:r>
          </w:p>
        </w:tc>
        <w:tc>
          <w:tcPr>
            <w:tcW w:w="535" w:type="dxa"/>
            <w:tcBorders>
              <w:top w:val="nil"/>
              <w:left w:val="nil"/>
              <w:bottom w:val="single" w:sz="4" w:space="0" w:color="auto"/>
              <w:right w:val="single" w:sz="4" w:space="0" w:color="auto"/>
            </w:tcBorders>
            <w:shd w:val="clear" w:color="auto" w:fill="auto"/>
            <w:noWrap/>
            <w:vAlign w:val="bottom"/>
          </w:tcPr>
          <w:p w14:paraId="6D0CCE6C"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 42.1</w:t>
            </w:r>
          </w:p>
        </w:tc>
        <w:tc>
          <w:tcPr>
            <w:tcW w:w="535" w:type="dxa"/>
            <w:tcBorders>
              <w:top w:val="nil"/>
              <w:left w:val="nil"/>
              <w:bottom w:val="single" w:sz="4" w:space="0" w:color="auto"/>
              <w:right w:val="single" w:sz="4" w:space="0" w:color="auto"/>
            </w:tcBorders>
          </w:tcPr>
          <w:p w14:paraId="1F57FB66"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43.2</w:t>
            </w:r>
          </w:p>
        </w:tc>
      </w:tr>
      <w:tr w:rsidR="00020251" w:rsidRPr="00E45CD5" w14:paraId="4D0CA8EA" w14:textId="77777777" w:rsidTr="000071E5">
        <w:trPr>
          <w:trHeight w:val="60"/>
        </w:trPr>
        <w:tc>
          <w:tcPr>
            <w:tcW w:w="985" w:type="dxa"/>
            <w:tcBorders>
              <w:top w:val="nil"/>
              <w:left w:val="single" w:sz="4" w:space="0" w:color="auto"/>
              <w:bottom w:val="single" w:sz="4" w:space="0" w:color="auto"/>
              <w:right w:val="single" w:sz="4" w:space="0" w:color="auto"/>
            </w:tcBorders>
            <w:shd w:val="clear" w:color="auto" w:fill="auto"/>
            <w:noWrap/>
            <w:vAlign w:val="bottom"/>
          </w:tcPr>
          <w:p w14:paraId="73ABF455" w14:textId="77777777" w:rsidR="00020251" w:rsidRPr="00E45CD5" w:rsidRDefault="00020251" w:rsidP="000071E5">
            <w:pPr>
              <w:spacing w:line="240" w:lineRule="auto"/>
              <w:jc w:val="both"/>
              <w:rPr>
                <w:rFonts w:ascii="Arial" w:hAnsi="Arial" w:cs="Arial"/>
                <w:b/>
                <w:bCs/>
                <w:color w:val="000000"/>
                <w:sz w:val="20"/>
                <w:szCs w:val="20"/>
                <w:lang w:eastAsia="nl-BE"/>
              </w:rPr>
            </w:pPr>
            <w:r w:rsidRPr="00E45CD5">
              <w:rPr>
                <w:rFonts w:ascii="Arial" w:hAnsi="Arial" w:cs="Arial"/>
                <w:b/>
                <w:bCs/>
                <w:color w:val="000000"/>
                <w:sz w:val="20"/>
                <w:szCs w:val="20"/>
                <w:lang w:eastAsia="nl-BE"/>
              </w:rPr>
              <w:t>Globaal</w:t>
            </w:r>
          </w:p>
        </w:tc>
        <w:tc>
          <w:tcPr>
            <w:tcW w:w="729" w:type="dxa"/>
            <w:tcBorders>
              <w:top w:val="nil"/>
              <w:left w:val="nil"/>
              <w:bottom w:val="single" w:sz="4" w:space="0" w:color="auto"/>
              <w:right w:val="single" w:sz="4" w:space="0" w:color="auto"/>
            </w:tcBorders>
            <w:shd w:val="clear" w:color="auto" w:fill="auto"/>
            <w:noWrap/>
            <w:vAlign w:val="bottom"/>
          </w:tcPr>
          <w:p w14:paraId="26C94582"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48.4</w:t>
            </w:r>
          </w:p>
        </w:tc>
        <w:tc>
          <w:tcPr>
            <w:tcW w:w="709" w:type="dxa"/>
            <w:tcBorders>
              <w:top w:val="nil"/>
              <w:left w:val="nil"/>
              <w:bottom w:val="single" w:sz="4" w:space="0" w:color="auto"/>
              <w:right w:val="single" w:sz="4" w:space="0" w:color="auto"/>
            </w:tcBorders>
            <w:shd w:val="clear" w:color="auto" w:fill="auto"/>
            <w:noWrap/>
            <w:vAlign w:val="bottom"/>
          </w:tcPr>
          <w:p w14:paraId="127C63F8"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50.2</w:t>
            </w:r>
          </w:p>
        </w:tc>
        <w:tc>
          <w:tcPr>
            <w:tcW w:w="709" w:type="dxa"/>
            <w:tcBorders>
              <w:top w:val="nil"/>
              <w:left w:val="nil"/>
              <w:bottom w:val="single" w:sz="4" w:space="0" w:color="auto"/>
              <w:right w:val="single" w:sz="4" w:space="0" w:color="auto"/>
            </w:tcBorders>
            <w:shd w:val="clear" w:color="auto" w:fill="auto"/>
            <w:noWrap/>
            <w:vAlign w:val="bottom"/>
          </w:tcPr>
          <w:p w14:paraId="4913EF78"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50.3</w:t>
            </w:r>
          </w:p>
        </w:tc>
        <w:tc>
          <w:tcPr>
            <w:tcW w:w="709" w:type="dxa"/>
            <w:tcBorders>
              <w:top w:val="nil"/>
              <w:left w:val="nil"/>
              <w:bottom w:val="single" w:sz="4" w:space="0" w:color="auto"/>
              <w:right w:val="single" w:sz="4" w:space="0" w:color="auto"/>
            </w:tcBorders>
            <w:shd w:val="clear" w:color="auto" w:fill="auto"/>
            <w:noWrap/>
            <w:vAlign w:val="bottom"/>
          </w:tcPr>
          <w:p w14:paraId="1CD6A849"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49.8</w:t>
            </w:r>
          </w:p>
        </w:tc>
        <w:tc>
          <w:tcPr>
            <w:tcW w:w="708" w:type="dxa"/>
            <w:tcBorders>
              <w:top w:val="nil"/>
              <w:left w:val="nil"/>
              <w:bottom w:val="single" w:sz="4" w:space="0" w:color="auto"/>
              <w:right w:val="single" w:sz="4" w:space="0" w:color="auto"/>
            </w:tcBorders>
            <w:shd w:val="clear" w:color="auto" w:fill="auto"/>
            <w:noWrap/>
            <w:vAlign w:val="bottom"/>
          </w:tcPr>
          <w:p w14:paraId="7202BC41"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46.5</w:t>
            </w:r>
          </w:p>
        </w:tc>
        <w:tc>
          <w:tcPr>
            <w:tcW w:w="709" w:type="dxa"/>
            <w:tcBorders>
              <w:top w:val="nil"/>
              <w:left w:val="nil"/>
              <w:bottom w:val="single" w:sz="4" w:space="0" w:color="auto"/>
              <w:right w:val="single" w:sz="4" w:space="0" w:color="auto"/>
            </w:tcBorders>
            <w:shd w:val="clear" w:color="auto" w:fill="auto"/>
            <w:noWrap/>
            <w:vAlign w:val="bottom"/>
          </w:tcPr>
          <w:p w14:paraId="6DFCEB3E"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46.3</w:t>
            </w:r>
          </w:p>
        </w:tc>
        <w:tc>
          <w:tcPr>
            <w:tcW w:w="709" w:type="dxa"/>
            <w:tcBorders>
              <w:top w:val="nil"/>
              <w:left w:val="nil"/>
              <w:bottom w:val="single" w:sz="4" w:space="0" w:color="auto"/>
              <w:right w:val="single" w:sz="4" w:space="0" w:color="auto"/>
            </w:tcBorders>
            <w:shd w:val="clear" w:color="auto" w:fill="auto"/>
            <w:noWrap/>
            <w:vAlign w:val="bottom"/>
          </w:tcPr>
          <w:p w14:paraId="1AD99D71"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46.1</w:t>
            </w:r>
          </w:p>
        </w:tc>
        <w:tc>
          <w:tcPr>
            <w:tcW w:w="709" w:type="dxa"/>
            <w:tcBorders>
              <w:top w:val="nil"/>
              <w:left w:val="nil"/>
              <w:bottom w:val="single" w:sz="4" w:space="0" w:color="auto"/>
              <w:right w:val="single" w:sz="4" w:space="0" w:color="auto"/>
            </w:tcBorders>
            <w:shd w:val="clear" w:color="auto" w:fill="auto"/>
            <w:noWrap/>
            <w:vAlign w:val="bottom"/>
          </w:tcPr>
          <w:p w14:paraId="2979AB87"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46.0</w:t>
            </w:r>
          </w:p>
        </w:tc>
        <w:tc>
          <w:tcPr>
            <w:tcW w:w="585" w:type="dxa"/>
            <w:tcBorders>
              <w:top w:val="nil"/>
              <w:left w:val="nil"/>
              <w:bottom w:val="single" w:sz="4" w:space="0" w:color="auto"/>
              <w:right w:val="single" w:sz="4" w:space="0" w:color="auto"/>
            </w:tcBorders>
            <w:shd w:val="clear" w:color="auto" w:fill="auto"/>
            <w:noWrap/>
            <w:vAlign w:val="bottom"/>
          </w:tcPr>
          <w:p w14:paraId="3BB62BB7"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46.2</w:t>
            </w:r>
          </w:p>
        </w:tc>
        <w:tc>
          <w:tcPr>
            <w:tcW w:w="535" w:type="dxa"/>
            <w:tcBorders>
              <w:top w:val="nil"/>
              <w:left w:val="nil"/>
              <w:bottom w:val="single" w:sz="4" w:space="0" w:color="auto"/>
              <w:right w:val="single" w:sz="4" w:space="0" w:color="auto"/>
            </w:tcBorders>
            <w:shd w:val="clear" w:color="auto" w:fill="auto"/>
            <w:noWrap/>
            <w:vAlign w:val="bottom"/>
          </w:tcPr>
          <w:p w14:paraId="56B7E4DE"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 45.7</w:t>
            </w:r>
          </w:p>
        </w:tc>
        <w:tc>
          <w:tcPr>
            <w:tcW w:w="535" w:type="dxa"/>
            <w:tcBorders>
              <w:top w:val="nil"/>
              <w:left w:val="nil"/>
              <w:bottom w:val="single" w:sz="4" w:space="0" w:color="auto"/>
              <w:right w:val="single" w:sz="4" w:space="0" w:color="auto"/>
            </w:tcBorders>
          </w:tcPr>
          <w:p w14:paraId="67D40D3C" w14:textId="77777777" w:rsidR="00020251" w:rsidRPr="00E45CD5" w:rsidRDefault="00020251" w:rsidP="000071E5">
            <w:pPr>
              <w:spacing w:line="240" w:lineRule="auto"/>
              <w:jc w:val="both"/>
              <w:rPr>
                <w:rFonts w:ascii="Arial" w:hAnsi="Arial" w:cs="Arial"/>
                <w:color w:val="000000"/>
                <w:sz w:val="20"/>
                <w:szCs w:val="20"/>
                <w:lang w:eastAsia="nl-BE"/>
              </w:rPr>
            </w:pPr>
            <w:r w:rsidRPr="00E45CD5">
              <w:rPr>
                <w:rFonts w:ascii="Arial" w:hAnsi="Arial" w:cs="Arial"/>
                <w:color w:val="000000"/>
                <w:sz w:val="20"/>
                <w:szCs w:val="20"/>
                <w:lang w:eastAsia="nl-BE"/>
              </w:rPr>
              <w:t>47.0</w:t>
            </w:r>
          </w:p>
        </w:tc>
      </w:tr>
    </w:tbl>
    <w:p w14:paraId="79B8E4FB" w14:textId="77777777" w:rsidR="00020251" w:rsidRPr="00E45CD5" w:rsidRDefault="00020251" w:rsidP="00020251">
      <w:pPr>
        <w:spacing w:line="240" w:lineRule="auto"/>
        <w:ind w:left="284"/>
        <w:jc w:val="both"/>
        <w:rPr>
          <w:rFonts w:ascii="Arial" w:hAnsi="Arial" w:cs="Arial"/>
          <w:sz w:val="20"/>
          <w:szCs w:val="20"/>
        </w:rPr>
      </w:pPr>
    </w:p>
    <w:p w14:paraId="4535786E"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 xml:space="preserve">Bovenstaande tabel toont inderdaad aan dat de globale gemiddelde leeftijd van de gekozenen vanaf 1970 afnam. De verkiezingen van 1994 vormden hierop een uitzondering. Toen nam de gemiddelde leeftijd van de gekozenen terug lichtjes toe. In 2000 zette de verjongingstrend zich echter terug door. </w:t>
      </w:r>
    </w:p>
    <w:p w14:paraId="2F59E88E" w14:textId="77777777" w:rsidR="00020251" w:rsidRPr="00E45CD5" w:rsidRDefault="00020251" w:rsidP="00020251">
      <w:pPr>
        <w:spacing w:line="240" w:lineRule="auto"/>
        <w:ind w:left="284"/>
        <w:jc w:val="both"/>
        <w:rPr>
          <w:rFonts w:ascii="Arial" w:hAnsi="Arial" w:cs="Arial"/>
          <w:sz w:val="20"/>
          <w:szCs w:val="20"/>
        </w:rPr>
      </w:pPr>
    </w:p>
    <w:p w14:paraId="273B6C33"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 xml:space="preserve">Om deze daling van de gemiddelde leeftijd van de lokale gekozenen te verklaren, analyseerden bovenvermelde onderzoekers de evolutie van de leeftijdsstructuur. Deze analyse maakte al snel duidelijk dat vanaf 1970 vooral het aandeel van de -35 jarigen steeg terwijl het aandeel van de 60-plussers daalde. </w:t>
      </w:r>
    </w:p>
    <w:p w14:paraId="2DB2A77C" w14:textId="77777777" w:rsidR="00020251" w:rsidRPr="00E45CD5" w:rsidRDefault="00020251" w:rsidP="00020251">
      <w:pPr>
        <w:spacing w:line="240" w:lineRule="auto"/>
        <w:ind w:left="284"/>
        <w:jc w:val="both"/>
        <w:rPr>
          <w:rFonts w:ascii="Arial" w:hAnsi="Arial" w:cs="Arial"/>
          <w:sz w:val="20"/>
          <w:szCs w:val="20"/>
        </w:rPr>
      </w:pPr>
    </w:p>
    <w:p w14:paraId="39D01A69" w14:textId="77777777" w:rsidR="00020251" w:rsidRPr="00E45CD5" w:rsidRDefault="00020251" w:rsidP="00020251">
      <w:pPr>
        <w:spacing w:line="240" w:lineRule="auto"/>
        <w:jc w:val="both"/>
        <w:rPr>
          <w:rFonts w:ascii="Arial" w:hAnsi="Arial" w:cs="Arial"/>
          <w:sz w:val="20"/>
          <w:szCs w:val="20"/>
        </w:rPr>
      </w:pPr>
      <w:r w:rsidRPr="00E45CD5">
        <w:rPr>
          <w:rFonts w:ascii="Arial" w:hAnsi="Arial" w:cs="Arial"/>
          <w:sz w:val="20"/>
          <w:szCs w:val="20"/>
        </w:rPr>
        <w:t xml:space="preserve">Uit de analyse kwam tevens naar voor dat in ieder verkiezingsjaar de politieke participatie steeg naarmate de leeftijd toenam, haar hoogtepunt bereikte bij de personen van middelbare leeftijd en van dan af verminderde naarmate ze in de oudere leeftijdscategorieën kwamen. </w:t>
      </w:r>
    </w:p>
    <w:p w14:paraId="7F920A3A" w14:textId="77777777" w:rsidR="00020251" w:rsidRPr="00E45CD5" w:rsidRDefault="00020251" w:rsidP="00020251">
      <w:pPr>
        <w:spacing w:line="240" w:lineRule="auto"/>
        <w:ind w:left="284"/>
        <w:jc w:val="both"/>
        <w:rPr>
          <w:rFonts w:ascii="Arial" w:hAnsi="Arial" w:cs="Arial"/>
          <w:sz w:val="20"/>
          <w:szCs w:val="20"/>
        </w:rPr>
      </w:pPr>
    </w:p>
    <w:p w14:paraId="209F5C57" w14:textId="77777777" w:rsidR="00020251" w:rsidRPr="00E45CD5" w:rsidRDefault="00020251" w:rsidP="00020251">
      <w:pPr>
        <w:spacing w:line="240" w:lineRule="auto"/>
        <w:jc w:val="both"/>
        <w:rPr>
          <w:rFonts w:ascii="Arial" w:hAnsi="Arial" w:cs="Arial"/>
          <w:b/>
          <w:sz w:val="20"/>
          <w:szCs w:val="20"/>
        </w:rPr>
      </w:pPr>
      <w:r w:rsidRPr="00E45CD5">
        <w:rPr>
          <w:rFonts w:ascii="Arial" w:hAnsi="Arial" w:cs="Arial"/>
          <w:b/>
          <w:sz w:val="20"/>
          <w:szCs w:val="20"/>
        </w:rPr>
        <w:t>Bibliografie:</w:t>
      </w:r>
    </w:p>
    <w:p w14:paraId="1CA64675" w14:textId="77777777" w:rsidR="00020251" w:rsidRPr="00E45CD5" w:rsidRDefault="00020251" w:rsidP="00020251">
      <w:pPr>
        <w:pStyle w:val="PlainText"/>
        <w:jc w:val="both"/>
        <w:rPr>
          <w:rFonts w:ascii="Arial" w:hAnsi="Arial" w:cs="Arial"/>
          <w:sz w:val="20"/>
          <w:szCs w:val="20"/>
        </w:rPr>
      </w:pPr>
      <w:r w:rsidRPr="00E45CD5">
        <w:rPr>
          <w:rFonts w:ascii="Arial" w:hAnsi="Arial" w:cs="Arial"/>
          <w:sz w:val="20"/>
          <w:szCs w:val="20"/>
        </w:rPr>
        <w:t xml:space="preserve">REYNAERT, H., STEYVERS, K., VERLET, D., Van dorpsfiguur tot eerstelijnsbestuurder. De lokale politieke elite in Vlaanderen na 1945. In:  Fiers, S., Reynaert, H., (red.), Wie zetelt? De gekozen politieke elite in Vlaanderen doorgelicht, Tielt, </w:t>
      </w:r>
      <w:proofErr w:type="spellStart"/>
      <w:r w:rsidRPr="00E45CD5">
        <w:rPr>
          <w:rFonts w:ascii="Arial" w:hAnsi="Arial" w:cs="Arial"/>
          <w:sz w:val="20"/>
          <w:szCs w:val="20"/>
        </w:rPr>
        <w:t>Lannoo</w:t>
      </w:r>
      <w:proofErr w:type="spellEnd"/>
      <w:r w:rsidRPr="00E45CD5">
        <w:rPr>
          <w:rFonts w:ascii="Arial" w:hAnsi="Arial" w:cs="Arial"/>
          <w:sz w:val="20"/>
          <w:szCs w:val="20"/>
        </w:rPr>
        <w:t>, 2006, pp.  47-48.</w:t>
      </w:r>
    </w:p>
    <w:p w14:paraId="31E9A99B" w14:textId="77777777" w:rsidR="00020251" w:rsidRPr="00E45CD5" w:rsidRDefault="00020251" w:rsidP="00020251">
      <w:pPr>
        <w:tabs>
          <w:tab w:val="left" w:pos="-1440"/>
          <w:tab w:val="left" w:pos="-720"/>
        </w:tabs>
        <w:spacing w:line="240" w:lineRule="auto"/>
        <w:rPr>
          <w:rFonts w:ascii="Arial" w:hAnsi="Arial" w:cs="Arial"/>
          <w:b/>
          <w:sz w:val="28"/>
          <w:szCs w:val="28"/>
          <w:lang w:val="nl-NL"/>
        </w:rPr>
      </w:pPr>
      <w:r w:rsidRPr="00E45CD5">
        <w:rPr>
          <w:rFonts w:ascii="Arial" w:hAnsi="Arial" w:cs="Arial"/>
          <w:b/>
          <w:sz w:val="28"/>
          <w:szCs w:val="28"/>
          <w:lang w:val="nl-NL"/>
        </w:rPr>
        <w:t xml:space="preserve">2. OC </w:t>
      </w:r>
      <w:proofErr w:type="spellStart"/>
      <w:r w:rsidRPr="00E45CD5">
        <w:rPr>
          <w:rFonts w:ascii="Arial" w:hAnsi="Arial" w:cs="Arial"/>
          <w:b/>
          <w:sz w:val="28"/>
          <w:szCs w:val="28"/>
          <w:lang w:val="nl-NL"/>
        </w:rPr>
        <w:t>ComWet</w:t>
      </w:r>
      <w:proofErr w:type="spellEnd"/>
    </w:p>
    <w:p w14:paraId="6C1C7480" w14:textId="77777777" w:rsidR="00020251" w:rsidRPr="00E45CD5" w:rsidRDefault="00020251" w:rsidP="00020251">
      <w:pPr>
        <w:spacing w:line="240" w:lineRule="auto"/>
        <w:jc w:val="both"/>
        <w:rPr>
          <w:rFonts w:ascii="Arial" w:hAnsi="Arial" w:cs="Arial"/>
        </w:rPr>
      </w:pPr>
    </w:p>
    <w:p w14:paraId="1AAE407F" w14:textId="77777777" w:rsidR="00020251" w:rsidRPr="00E45CD5" w:rsidRDefault="00020251" w:rsidP="00020251">
      <w:pPr>
        <w:spacing w:line="240" w:lineRule="auto"/>
        <w:rPr>
          <w:rFonts w:ascii="Arial" w:hAnsi="Arial" w:cs="Arial"/>
          <w:b/>
          <w:sz w:val="20"/>
          <w:szCs w:val="20"/>
          <w:lang w:val="nl-NL"/>
        </w:rPr>
      </w:pPr>
      <w:r w:rsidRPr="00E45CD5">
        <w:rPr>
          <w:rFonts w:ascii="Arial" w:hAnsi="Arial" w:cs="Arial"/>
          <w:b/>
          <w:sz w:val="20"/>
          <w:szCs w:val="20"/>
          <w:lang w:val="nl-NL"/>
        </w:rPr>
        <w:t>Voorbeeld plagiaat</w:t>
      </w:r>
    </w:p>
    <w:p w14:paraId="29ED147E" w14:textId="77777777" w:rsidR="00020251" w:rsidRPr="00E45CD5" w:rsidRDefault="00020251" w:rsidP="00020251">
      <w:pPr>
        <w:spacing w:line="240" w:lineRule="auto"/>
        <w:rPr>
          <w:rFonts w:ascii="Arial" w:hAnsi="Arial" w:cs="Arial"/>
          <w:sz w:val="20"/>
          <w:szCs w:val="20"/>
          <w:lang w:val="nl-NL"/>
        </w:rPr>
      </w:pPr>
    </w:p>
    <w:p w14:paraId="0737DCC6" w14:textId="77777777" w:rsidR="00020251" w:rsidRPr="00E45CD5" w:rsidRDefault="00020251" w:rsidP="00020251">
      <w:pPr>
        <w:spacing w:line="240" w:lineRule="auto"/>
        <w:rPr>
          <w:rFonts w:ascii="Arial" w:hAnsi="Arial" w:cs="Arial"/>
          <w:sz w:val="20"/>
          <w:szCs w:val="20"/>
          <w:lang w:val="nl-NL"/>
        </w:rPr>
      </w:pPr>
      <w:r w:rsidRPr="00E45CD5">
        <w:rPr>
          <w:rFonts w:ascii="Arial" w:hAnsi="Arial" w:cs="Arial"/>
          <w:sz w:val="20"/>
          <w:szCs w:val="20"/>
          <w:lang w:val="nl-NL"/>
        </w:rPr>
        <w:t>Bekijkt men de verschillen en schommelingen van het aanbod binnen- en buitenlands nieuws (gespreid over 52 weken, 2003) op de openbare omroep en VTM samen, dan krijgt men volgende grafiek.</w:t>
      </w:r>
      <w:r w:rsidRPr="00E45CD5">
        <w:rPr>
          <w:rFonts w:ascii="Arial" w:hAnsi="Arial" w:cs="Arial"/>
          <w:sz w:val="20"/>
          <w:szCs w:val="20"/>
          <w:lang w:val="nl-NL"/>
        </w:rPr>
        <w:br/>
      </w:r>
    </w:p>
    <w:p w14:paraId="051D57D9" w14:textId="77777777" w:rsidR="00020251" w:rsidRPr="00E45CD5" w:rsidRDefault="00020251" w:rsidP="00020251">
      <w:pPr>
        <w:spacing w:line="240" w:lineRule="auto"/>
        <w:rPr>
          <w:rFonts w:ascii="Arial" w:hAnsi="Arial" w:cs="Arial"/>
          <w:sz w:val="20"/>
          <w:szCs w:val="20"/>
          <w:lang w:val="nl-NL"/>
        </w:rPr>
      </w:pPr>
      <w:r w:rsidRPr="00E45CD5">
        <w:rPr>
          <w:rFonts w:ascii="Arial" w:hAnsi="Arial" w:cs="Arial"/>
          <w:b/>
          <w:sz w:val="20"/>
          <w:szCs w:val="20"/>
          <w:lang w:val="nl-NL"/>
        </w:rPr>
        <w:t xml:space="preserve">Grafiek 3. Binnen- versus buitenland TV1 en VTM </w:t>
      </w:r>
    </w:p>
    <w:p w14:paraId="51BFD0FC" w14:textId="77777777" w:rsidR="00020251" w:rsidRPr="00E45CD5" w:rsidRDefault="00020251" w:rsidP="00020251">
      <w:pPr>
        <w:spacing w:line="240" w:lineRule="auto"/>
        <w:rPr>
          <w:rFonts w:ascii="Arial" w:hAnsi="Arial" w:cs="Arial"/>
          <w:sz w:val="20"/>
          <w:szCs w:val="20"/>
          <w:lang w:val="nl-NL"/>
        </w:rPr>
      </w:pPr>
      <w:r w:rsidRPr="00E45CD5">
        <w:rPr>
          <w:rFonts w:ascii="Arial" w:hAnsi="Arial" w:cs="Arial"/>
          <w:noProof/>
          <w:sz w:val="20"/>
          <w:szCs w:val="20"/>
          <w:lang w:eastAsia="nl-BE"/>
        </w:rPr>
        <w:drawing>
          <wp:inline distT="0" distB="0" distL="0" distR="0" wp14:anchorId="60E88EA3" wp14:editId="54B4EF69">
            <wp:extent cx="5715000" cy="2581275"/>
            <wp:effectExtent l="19050" t="0" r="0" b="0"/>
            <wp:docPr id="1" name="Afbeelding 1" descr="afbeeldinghoofdstuk3grafi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hoofdstuk3grafiek3"/>
                    <pic:cNvPicPr>
                      <a:picLocks noChangeAspect="1" noChangeArrowheads="1"/>
                    </pic:cNvPicPr>
                  </pic:nvPicPr>
                  <pic:blipFill>
                    <a:blip r:embed="rId12" cstate="print"/>
                    <a:srcRect/>
                    <a:stretch>
                      <a:fillRect/>
                    </a:stretch>
                  </pic:blipFill>
                  <pic:spPr bwMode="auto">
                    <a:xfrm>
                      <a:off x="0" y="0"/>
                      <a:ext cx="5715000" cy="2581275"/>
                    </a:xfrm>
                    <a:prstGeom prst="rect">
                      <a:avLst/>
                    </a:prstGeom>
                    <a:noFill/>
                    <a:ln w="9525">
                      <a:noFill/>
                      <a:miter lim="800000"/>
                      <a:headEnd/>
                      <a:tailEnd/>
                    </a:ln>
                  </pic:spPr>
                </pic:pic>
              </a:graphicData>
            </a:graphic>
          </wp:inline>
        </w:drawing>
      </w:r>
    </w:p>
    <w:p w14:paraId="46C13361" w14:textId="77777777" w:rsidR="00020251" w:rsidRPr="00E45CD5" w:rsidRDefault="00020251" w:rsidP="00020251">
      <w:pPr>
        <w:spacing w:line="240" w:lineRule="auto"/>
        <w:rPr>
          <w:rFonts w:ascii="Arial" w:hAnsi="Arial" w:cs="Arial"/>
          <w:sz w:val="20"/>
          <w:szCs w:val="20"/>
          <w:lang w:val="nl-NL"/>
        </w:rPr>
      </w:pPr>
    </w:p>
    <w:p w14:paraId="7CDCF64A" w14:textId="77777777" w:rsidR="00020251" w:rsidRPr="00E45CD5" w:rsidRDefault="00020251" w:rsidP="00020251">
      <w:pPr>
        <w:spacing w:line="240" w:lineRule="auto"/>
        <w:rPr>
          <w:rFonts w:ascii="Arial" w:hAnsi="Arial" w:cs="Arial"/>
          <w:b/>
          <w:sz w:val="20"/>
          <w:szCs w:val="20"/>
          <w:lang w:val="nl-NL"/>
        </w:rPr>
      </w:pPr>
      <w:r w:rsidRPr="00E45CD5">
        <w:rPr>
          <w:rFonts w:ascii="Arial" w:hAnsi="Arial" w:cs="Arial"/>
          <w:b/>
          <w:sz w:val="20"/>
          <w:szCs w:val="20"/>
          <w:lang w:val="nl-NL"/>
        </w:rPr>
        <w:t>Voorbeeld correcte referentie</w:t>
      </w:r>
    </w:p>
    <w:p w14:paraId="43E15DDC" w14:textId="77777777" w:rsidR="00020251" w:rsidRPr="00E45CD5" w:rsidRDefault="00020251" w:rsidP="00020251">
      <w:pPr>
        <w:spacing w:line="240" w:lineRule="auto"/>
        <w:rPr>
          <w:rFonts w:ascii="Arial" w:hAnsi="Arial" w:cs="Arial"/>
          <w:sz w:val="20"/>
          <w:szCs w:val="20"/>
          <w:lang w:val="nl-NL"/>
        </w:rPr>
      </w:pPr>
    </w:p>
    <w:p w14:paraId="37DA86D5" w14:textId="77777777" w:rsidR="00020251" w:rsidRPr="00E45CD5" w:rsidRDefault="00020251" w:rsidP="00020251">
      <w:pPr>
        <w:spacing w:line="240" w:lineRule="auto"/>
        <w:ind w:left="708"/>
        <w:rPr>
          <w:rFonts w:ascii="Arial" w:hAnsi="Arial" w:cs="Arial"/>
          <w:sz w:val="20"/>
          <w:szCs w:val="20"/>
          <w:lang w:val="nl-NL"/>
        </w:rPr>
      </w:pPr>
      <w:r w:rsidRPr="00E45CD5">
        <w:rPr>
          <w:rFonts w:ascii="Arial" w:hAnsi="Arial" w:cs="Arial"/>
          <w:sz w:val="20"/>
          <w:szCs w:val="20"/>
          <w:lang w:val="nl-NL"/>
        </w:rPr>
        <w:t>De gegevens op basis van het onderzoek van de VRT- en VTM-journaals (2003) door Biltereyst en Joye, leveren volgende grafiek op:</w:t>
      </w:r>
    </w:p>
    <w:p w14:paraId="55735EE9" w14:textId="77777777" w:rsidR="00020251" w:rsidRPr="00E45CD5" w:rsidRDefault="00020251" w:rsidP="00020251">
      <w:pPr>
        <w:spacing w:line="240" w:lineRule="auto"/>
        <w:rPr>
          <w:rFonts w:ascii="Arial" w:hAnsi="Arial" w:cs="Arial"/>
          <w:sz w:val="20"/>
          <w:szCs w:val="20"/>
          <w:lang w:val="nl-NL"/>
        </w:rPr>
      </w:pPr>
    </w:p>
    <w:p w14:paraId="460D0010" w14:textId="77777777" w:rsidR="00020251" w:rsidRPr="00E45CD5" w:rsidRDefault="00020251" w:rsidP="00020251">
      <w:pPr>
        <w:tabs>
          <w:tab w:val="left" w:pos="-1440"/>
          <w:tab w:val="left" w:pos="-720"/>
        </w:tabs>
        <w:spacing w:line="240" w:lineRule="auto"/>
        <w:rPr>
          <w:rFonts w:ascii="Arial" w:hAnsi="Arial" w:cs="Arial"/>
          <w:sz w:val="20"/>
          <w:szCs w:val="20"/>
          <w:lang w:val="nl-NL"/>
        </w:rPr>
      </w:pPr>
      <w:r w:rsidRPr="00E45CD5">
        <w:rPr>
          <w:rFonts w:ascii="Arial" w:hAnsi="Arial" w:cs="Arial"/>
          <w:noProof/>
          <w:sz w:val="20"/>
          <w:szCs w:val="20"/>
          <w:lang w:eastAsia="nl-BE"/>
        </w:rPr>
        <w:drawing>
          <wp:inline distT="0" distB="0" distL="0" distR="0" wp14:anchorId="3C517413" wp14:editId="1BDECA15">
            <wp:extent cx="5715000" cy="2581275"/>
            <wp:effectExtent l="19050" t="0" r="0" b="0"/>
            <wp:docPr id="2" name="Afbeelding 2" descr="afbeeldinghoofdstuk3grafi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hoofdstuk3grafiek3"/>
                    <pic:cNvPicPr>
                      <a:picLocks noChangeAspect="1" noChangeArrowheads="1"/>
                    </pic:cNvPicPr>
                  </pic:nvPicPr>
                  <pic:blipFill>
                    <a:blip r:embed="rId12" cstate="print"/>
                    <a:srcRect/>
                    <a:stretch>
                      <a:fillRect/>
                    </a:stretch>
                  </pic:blipFill>
                  <pic:spPr bwMode="auto">
                    <a:xfrm>
                      <a:off x="0" y="0"/>
                      <a:ext cx="5715000" cy="2581275"/>
                    </a:xfrm>
                    <a:prstGeom prst="rect">
                      <a:avLst/>
                    </a:prstGeom>
                    <a:noFill/>
                    <a:ln w="9525">
                      <a:noFill/>
                      <a:miter lim="800000"/>
                      <a:headEnd/>
                      <a:tailEnd/>
                    </a:ln>
                  </pic:spPr>
                </pic:pic>
              </a:graphicData>
            </a:graphic>
          </wp:inline>
        </w:drawing>
      </w:r>
    </w:p>
    <w:p w14:paraId="7BC84378" w14:textId="77777777" w:rsidR="00020251" w:rsidRPr="00E45CD5" w:rsidRDefault="00020251" w:rsidP="00020251">
      <w:pPr>
        <w:spacing w:line="240" w:lineRule="auto"/>
        <w:rPr>
          <w:rFonts w:ascii="Arial" w:hAnsi="Arial" w:cs="Arial"/>
          <w:b/>
          <w:sz w:val="20"/>
          <w:szCs w:val="20"/>
          <w:lang w:val="nl-NL"/>
        </w:rPr>
      </w:pPr>
    </w:p>
    <w:p w14:paraId="4CD154BE" w14:textId="77777777" w:rsidR="00020251" w:rsidRPr="00E45CD5" w:rsidRDefault="00020251" w:rsidP="00020251">
      <w:pPr>
        <w:spacing w:line="240" w:lineRule="auto"/>
        <w:rPr>
          <w:rFonts w:ascii="Arial" w:hAnsi="Arial" w:cs="Arial"/>
          <w:sz w:val="20"/>
          <w:szCs w:val="20"/>
          <w:lang w:val="nl-NL"/>
        </w:rPr>
      </w:pPr>
      <w:r w:rsidRPr="00E45CD5">
        <w:rPr>
          <w:rFonts w:ascii="Arial" w:hAnsi="Arial" w:cs="Arial"/>
          <w:b/>
          <w:sz w:val="20"/>
          <w:szCs w:val="20"/>
          <w:lang w:val="nl-NL"/>
        </w:rPr>
        <w:t>Grafiek 3. Binnen- versus buitenland TV1 en VTM (n = 14.154 items)</w:t>
      </w:r>
      <w:r w:rsidRPr="00E45CD5">
        <w:rPr>
          <w:rFonts w:ascii="Arial" w:hAnsi="Arial" w:cs="Arial"/>
          <w:sz w:val="20"/>
          <w:szCs w:val="20"/>
          <w:lang w:val="nl-NL"/>
        </w:rPr>
        <w:t xml:space="preserve"> </w:t>
      </w:r>
    </w:p>
    <w:p w14:paraId="15ACEA7F" w14:textId="77777777" w:rsidR="00020251" w:rsidRPr="00E45CD5" w:rsidRDefault="00020251" w:rsidP="00020251">
      <w:pPr>
        <w:spacing w:line="240" w:lineRule="auto"/>
        <w:rPr>
          <w:rFonts w:ascii="Arial" w:hAnsi="Arial" w:cs="Arial"/>
          <w:sz w:val="20"/>
          <w:szCs w:val="20"/>
          <w:lang w:val="nl-NL"/>
        </w:rPr>
      </w:pPr>
      <w:r w:rsidRPr="00FB30FC">
        <w:rPr>
          <w:rFonts w:ascii="Arial" w:hAnsi="Arial" w:cs="Arial"/>
          <w:sz w:val="20"/>
          <w:szCs w:val="20"/>
        </w:rPr>
        <w:t xml:space="preserve">Bron: Biltereyst, D. &amp; Joye, S. (2005). </w:t>
      </w:r>
      <w:r w:rsidRPr="00E45CD5">
        <w:rPr>
          <w:rFonts w:ascii="Arial" w:hAnsi="Arial" w:cs="Arial"/>
          <w:sz w:val="20"/>
          <w:szCs w:val="20"/>
          <w:lang w:val="nl-NL"/>
        </w:rPr>
        <w:t xml:space="preserve">Voorspelbaar buitenland. Analyse van de buitenland- en de internationale berichtgeving van de VRT- en VTM-journaals in 2003. In M. </w:t>
      </w:r>
      <w:proofErr w:type="spellStart"/>
      <w:r w:rsidRPr="00E45CD5">
        <w:rPr>
          <w:rFonts w:ascii="Arial" w:hAnsi="Arial" w:cs="Arial"/>
          <w:sz w:val="20"/>
          <w:szCs w:val="20"/>
          <w:lang w:val="nl-NL"/>
        </w:rPr>
        <w:t>Hooghe</w:t>
      </w:r>
      <w:proofErr w:type="spellEnd"/>
      <w:r w:rsidRPr="00E45CD5">
        <w:rPr>
          <w:rFonts w:ascii="Arial" w:hAnsi="Arial" w:cs="Arial"/>
          <w:sz w:val="20"/>
          <w:szCs w:val="20"/>
          <w:lang w:val="nl-NL"/>
        </w:rPr>
        <w:t xml:space="preserve">, K. De </w:t>
      </w:r>
      <w:proofErr w:type="spellStart"/>
      <w:r w:rsidRPr="00E45CD5">
        <w:rPr>
          <w:rFonts w:ascii="Arial" w:hAnsi="Arial" w:cs="Arial"/>
          <w:sz w:val="20"/>
          <w:szCs w:val="20"/>
          <w:lang w:val="nl-NL"/>
        </w:rPr>
        <w:t>Swert</w:t>
      </w:r>
      <w:proofErr w:type="spellEnd"/>
      <w:r w:rsidRPr="00E45CD5">
        <w:rPr>
          <w:rFonts w:ascii="Arial" w:hAnsi="Arial" w:cs="Arial"/>
          <w:sz w:val="20"/>
          <w:szCs w:val="20"/>
          <w:lang w:val="nl-NL"/>
        </w:rPr>
        <w:t xml:space="preserve"> &amp; S. Walgrave (Eds.), </w:t>
      </w:r>
      <w:r w:rsidRPr="00E45CD5">
        <w:rPr>
          <w:rStyle w:val="Emphasis"/>
          <w:rFonts w:ascii="Arial" w:hAnsi="Arial" w:cs="Arial"/>
          <w:sz w:val="20"/>
          <w:szCs w:val="20"/>
          <w:lang w:val="nl-NL"/>
        </w:rPr>
        <w:t xml:space="preserve">Nieuws op televisie. </w:t>
      </w:r>
      <w:proofErr w:type="spellStart"/>
      <w:r w:rsidRPr="00E45CD5">
        <w:rPr>
          <w:rStyle w:val="Emphasis"/>
          <w:rFonts w:ascii="Arial" w:hAnsi="Arial" w:cs="Arial"/>
          <w:sz w:val="20"/>
          <w:szCs w:val="20"/>
          <w:lang w:val="nl-NL"/>
        </w:rPr>
        <w:t>Televisiejournaals</w:t>
      </w:r>
      <w:proofErr w:type="spellEnd"/>
      <w:r w:rsidRPr="00E45CD5">
        <w:rPr>
          <w:rStyle w:val="Emphasis"/>
          <w:rFonts w:ascii="Arial" w:hAnsi="Arial" w:cs="Arial"/>
          <w:sz w:val="20"/>
          <w:szCs w:val="20"/>
          <w:lang w:val="nl-NL"/>
        </w:rPr>
        <w:t xml:space="preserve"> als venster op de wereld</w:t>
      </w:r>
      <w:r w:rsidRPr="00E45CD5">
        <w:rPr>
          <w:rFonts w:ascii="Arial" w:hAnsi="Arial" w:cs="Arial"/>
          <w:sz w:val="20"/>
          <w:szCs w:val="20"/>
          <w:lang w:val="nl-NL"/>
        </w:rPr>
        <w:t xml:space="preserve"> (pp. 157-174). Leuven: </w:t>
      </w:r>
      <w:proofErr w:type="spellStart"/>
      <w:r w:rsidRPr="00E45CD5">
        <w:rPr>
          <w:rFonts w:ascii="Arial" w:hAnsi="Arial" w:cs="Arial"/>
          <w:sz w:val="20"/>
          <w:szCs w:val="20"/>
          <w:lang w:val="nl-NL"/>
        </w:rPr>
        <w:t>Acco</w:t>
      </w:r>
      <w:proofErr w:type="spellEnd"/>
      <w:r w:rsidRPr="00E45CD5">
        <w:rPr>
          <w:rFonts w:ascii="Arial" w:hAnsi="Arial" w:cs="Arial"/>
          <w:sz w:val="20"/>
          <w:szCs w:val="20"/>
          <w:lang w:val="nl-NL"/>
        </w:rPr>
        <w:t>, p. 164.</w:t>
      </w:r>
    </w:p>
    <w:p w14:paraId="25ACCC13" w14:textId="77777777" w:rsidR="00020251" w:rsidRPr="00E45CD5" w:rsidRDefault="00020251" w:rsidP="00020251">
      <w:pPr>
        <w:tabs>
          <w:tab w:val="left" w:pos="-1440"/>
          <w:tab w:val="left" w:pos="-720"/>
        </w:tabs>
        <w:spacing w:line="240" w:lineRule="auto"/>
        <w:rPr>
          <w:rFonts w:ascii="Arial" w:hAnsi="Arial" w:cs="Arial"/>
          <w:b/>
          <w:sz w:val="20"/>
          <w:szCs w:val="20"/>
          <w:lang w:val="nl-NL"/>
        </w:rPr>
      </w:pPr>
    </w:p>
    <w:p w14:paraId="711DC8BF" w14:textId="77777777" w:rsidR="00020251" w:rsidRPr="00E45CD5" w:rsidRDefault="00020251" w:rsidP="00020251">
      <w:pPr>
        <w:tabs>
          <w:tab w:val="left" w:pos="-1440"/>
          <w:tab w:val="left" w:pos="-720"/>
        </w:tabs>
        <w:spacing w:line="240" w:lineRule="auto"/>
        <w:rPr>
          <w:rFonts w:ascii="Arial" w:hAnsi="Arial" w:cs="Arial"/>
          <w:b/>
          <w:sz w:val="20"/>
          <w:szCs w:val="20"/>
          <w:lang w:val="nl-NL"/>
        </w:rPr>
      </w:pPr>
      <w:r w:rsidRPr="00E45CD5">
        <w:rPr>
          <w:rFonts w:ascii="Arial" w:hAnsi="Arial" w:cs="Arial"/>
          <w:b/>
          <w:sz w:val="20"/>
          <w:szCs w:val="20"/>
          <w:lang w:val="nl-NL"/>
        </w:rPr>
        <w:t xml:space="preserve">Voorbeeld plagiaat </w:t>
      </w:r>
      <w:r w:rsidRPr="00E45CD5">
        <w:rPr>
          <w:rFonts w:ascii="Arial" w:hAnsi="Arial" w:cs="Arial"/>
          <w:b/>
          <w:sz w:val="20"/>
          <w:szCs w:val="20"/>
          <w:lang w:val="nl-NL"/>
        </w:rPr>
        <w:br/>
      </w:r>
      <w:r w:rsidRPr="00E45CD5">
        <w:rPr>
          <w:rFonts w:ascii="Arial" w:hAnsi="Arial" w:cs="Arial"/>
          <w:sz w:val="20"/>
          <w:szCs w:val="20"/>
          <w:lang w:val="nl-NL"/>
        </w:rPr>
        <w:br/>
        <w:t>Voor ons onderzoek vertrekken we van volgend onderzoeksdesign:</w:t>
      </w:r>
    </w:p>
    <w:p w14:paraId="1EAB2B0B" w14:textId="77777777" w:rsidR="00020251" w:rsidRPr="00E45CD5" w:rsidRDefault="00020251" w:rsidP="00020251">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sz w:val="20"/>
          <w:szCs w:val="20"/>
          <w:lang w:val="nl-NL"/>
        </w:rPr>
      </w:pPr>
      <w:r w:rsidRPr="00E45CD5">
        <w:rPr>
          <w:rFonts w:ascii="Arial" w:hAnsi="Arial" w:cs="Arial"/>
          <w:noProof/>
          <w:sz w:val="20"/>
          <w:szCs w:val="20"/>
          <w:lang w:eastAsia="nl-BE"/>
        </w:rPr>
        <w:drawing>
          <wp:inline distT="0" distB="0" distL="0" distR="0" wp14:anchorId="4CFB3E8D" wp14:editId="5D9B8688">
            <wp:extent cx="5372100" cy="2838450"/>
            <wp:effectExtent l="19050" t="0" r="0" b="0"/>
            <wp:docPr id="4" name="Afbeelding 3" descr="afbeeldinghoofdstuk 3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hoofdstuk 3fig5"/>
                    <pic:cNvPicPr>
                      <a:picLocks noChangeAspect="1" noChangeArrowheads="1"/>
                    </pic:cNvPicPr>
                  </pic:nvPicPr>
                  <pic:blipFill>
                    <a:blip r:embed="rId13" cstate="print"/>
                    <a:srcRect/>
                    <a:stretch>
                      <a:fillRect/>
                    </a:stretch>
                  </pic:blipFill>
                  <pic:spPr bwMode="auto">
                    <a:xfrm>
                      <a:off x="0" y="0"/>
                      <a:ext cx="5372100" cy="2838450"/>
                    </a:xfrm>
                    <a:prstGeom prst="rect">
                      <a:avLst/>
                    </a:prstGeom>
                    <a:noFill/>
                    <a:ln w="9525">
                      <a:noFill/>
                      <a:miter lim="800000"/>
                      <a:headEnd/>
                      <a:tailEnd/>
                    </a:ln>
                  </pic:spPr>
                </pic:pic>
              </a:graphicData>
            </a:graphic>
          </wp:inline>
        </w:drawing>
      </w:r>
    </w:p>
    <w:p w14:paraId="279F0EF4" w14:textId="77777777" w:rsidR="00020251" w:rsidRPr="00E45CD5" w:rsidRDefault="00020251" w:rsidP="00020251">
      <w:pPr>
        <w:tabs>
          <w:tab w:val="left" w:pos="-1440"/>
          <w:tab w:val="left" w:pos="-720"/>
        </w:tabs>
        <w:spacing w:line="240" w:lineRule="auto"/>
        <w:rPr>
          <w:rFonts w:ascii="Arial" w:hAnsi="Arial" w:cs="Arial"/>
          <w:b/>
          <w:sz w:val="20"/>
          <w:szCs w:val="20"/>
          <w:lang w:val="nl-NL"/>
        </w:rPr>
      </w:pPr>
      <w:r w:rsidRPr="00E45CD5">
        <w:rPr>
          <w:rFonts w:ascii="Arial" w:hAnsi="Arial" w:cs="Arial"/>
          <w:b/>
          <w:sz w:val="20"/>
          <w:szCs w:val="20"/>
          <w:lang w:val="nl-NL"/>
        </w:rPr>
        <w:t>Voorbeeld correcte referentie</w:t>
      </w:r>
      <w:r w:rsidRPr="00E45CD5">
        <w:rPr>
          <w:rFonts w:ascii="Arial" w:hAnsi="Arial" w:cs="Arial"/>
          <w:b/>
          <w:sz w:val="20"/>
          <w:szCs w:val="20"/>
          <w:lang w:val="nl-NL"/>
        </w:rPr>
        <w:br/>
      </w:r>
      <w:r w:rsidRPr="00E45CD5">
        <w:rPr>
          <w:rFonts w:ascii="Arial" w:hAnsi="Arial" w:cs="Arial"/>
          <w:b/>
          <w:sz w:val="20"/>
          <w:szCs w:val="20"/>
          <w:lang w:val="nl-NL"/>
        </w:rPr>
        <w:br/>
      </w:r>
      <w:r w:rsidRPr="00E45CD5">
        <w:rPr>
          <w:rFonts w:ascii="Arial" w:hAnsi="Arial" w:cs="Arial"/>
          <w:sz w:val="20"/>
          <w:szCs w:val="20"/>
          <w:lang w:val="nl-NL"/>
        </w:rPr>
        <w:t xml:space="preserve">Bij het uitwerken van ons onderzoek zijn we uitgegaan van hetzelfde onderzoeksdesign dat werd toegepast in het onderzoek van </w:t>
      </w:r>
      <w:proofErr w:type="spellStart"/>
      <w:r w:rsidRPr="00E45CD5">
        <w:rPr>
          <w:rFonts w:ascii="Arial" w:hAnsi="Arial" w:cs="Arial"/>
          <w:sz w:val="20"/>
          <w:szCs w:val="20"/>
          <w:lang w:val="nl-NL"/>
        </w:rPr>
        <w:t>Van</w:t>
      </w:r>
      <w:proofErr w:type="spellEnd"/>
      <w:r w:rsidRPr="00E45CD5">
        <w:rPr>
          <w:rFonts w:ascii="Arial" w:hAnsi="Arial" w:cs="Arial"/>
          <w:sz w:val="20"/>
          <w:szCs w:val="20"/>
          <w:lang w:val="nl-NL"/>
        </w:rPr>
        <w:t xml:space="preserve"> Bauwel (2007) in verband met ‘Anders geletterdheid’. </w:t>
      </w:r>
    </w:p>
    <w:p w14:paraId="1C0D64D5" w14:textId="77777777" w:rsidR="00020251" w:rsidRPr="00E45CD5" w:rsidRDefault="00020251" w:rsidP="00020251">
      <w:pPr>
        <w:tabs>
          <w:tab w:val="left" w:pos="-1440"/>
          <w:tab w:val="left" w:pos="-720"/>
        </w:tabs>
        <w:spacing w:line="240" w:lineRule="auto"/>
        <w:rPr>
          <w:rFonts w:ascii="Arial" w:hAnsi="Arial" w:cs="Arial"/>
          <w:b/>
          <w:sz w:val="20"/>
          <w:szCs w:val="20"/>
          <w:lang w:val="nl-NL"/>
        </w:rPr>
      </w:pPr>
    </w:p>
    <w:p w14:paraId="48E21014" w14:textId="77777777" w:rsidR="00020251" w:rsidRPr="00E45CD5" w:rsidRDefault="00020251" w:rsidP="00020251">
      <w:pPr>
        <w:tabs>
          <w:tab w:val="left" w:pos="-1440"/>
          <w:tab w:val="left" w:pos="-720"/>
        </w:tabs>
        <w:spacing w:line="240" w:lineRule="auto"/>
        <w:ind w:left="708"/>
        <w:rPr>
          <w:rFonts w:ascii="Arial" w:hAnsi="Arial" w:cs="Arial"/>
          <w:b/>
          <w:sz w:val="20"/>
          <w:szCs w:val="20"/>
          <w:lang w:val="nl-NL"/>
        </w:rPr>
      </w:pPr>
      <w:r w:rsidRPr="00E45CD5">
        <w:rPr>
          <w:rFonts w:ascii="Arial" w:hAnsi="Arial" w:cs="Arial"/>
          <w:b/>
          <w:sz w:val="20"/>
          <w:szCs w:val="20"/>
          <w:lang w:val="nl-NL"/>
        </w:rPr>
        <w:t>Model van onderzoeksdesign (</w:t>
      </w:r>
      <w:r w:rsidRPr="00E45CD5">
        <w:rPr>
          <w:rFonts w:ascii="Arial" w:hAnsi="Arial" w:cs="Arial"/>
          <w:sz w:val="20"/>
          <w:szCs w:val="20"/>
          <w:lang w:val="nl-NL"/>
        </w:rPr>
        <w:t xml:space="preserve">Bron: Van Bauwel, S. (2007). </w:t>
      </w:r>
      <w:r w:rsidRPr="00E45CD5">
        <w:rPr>
          <w:rFonts w:ascii="Arial" w:hAnsi="Arial" w:cs="Arial"/>
          <w:i/>
          <w:sz w:val="20"/>
          <w:szCs w:val="20"/>
          <w:lang w:val="nl-NL"/>
        </w:rPr>
        <w:t>Anders geletterdheid. Een onuitgegeven onderzoeksrapport.</w:t>
      </w:r>
      <w:r w:rsidRPr="00E45CD5">
        <w:rPr>
          <w:rFonts w:ascii="Arial" w:hAnsi="Arial" w:cs="Arial"/>
          <w:sz w:val="20"/>
          <w:szCs w:val="20"/>
          <w:lang w:val="nl-NL"/>
        </w:rPr>
        <w:t xml:space="preserve"> Gent: Vakgroep Communicatiewetenschappen, p. 15</w:t>
      </w:r>
      <w:r w:rsidRPr="00E45CD5">
        <w:rPr>
          <w:rFonts w:ascii="Arial" w:hAnsi="Arial" w:cs="Arial"/>
          <w:b/>
          <w:sz w:val="20"/>
          <w:szCs w:val="20"/>
          <w:lang w:val="nl-NL"/>
        </w:rPr>
        <w:t>)</w:t>
      </w:r>
    </w:p>
    <w:p w14:paraId="238F9ACC" w14:textId="77777777" w:rsidR="00020251" w:rsidRPr="00E45CD5" w:rsidRDefault="00020251" w:rsidP="00020251">
      <w:pPr>
        <w:tabs>
          <w:tab w:val="left" w:pos="-1440"/>
          <w:tab w:val="left" w:pos="-720"/>
        </w:tabs>
        <w:spacing w:line="240" w:lineRule="auto"/>
        <w:rPr>
          <w:rFonts w:ascii="Arial" w:hAnsi="Arial" w:cs="Arial"/>
          <w:lang w:val="nl-NL"/>
        </w:rPr>
      </w:pPr>
    </w:p>
    <w:p w14:paraId="57323B2E" w14:textId="77777777" w:rsidR="00020251" w:rsidRPr="00E45CD5" w:rsidRDefault="00020251" w:rsidP="00020251">
      <w:pPr>
        <w:spacing w:line="240" w:lineRule="auto"/>
        <w:rPr>
          <w:rFonts w:ascii="Arial" w:hAnsi="Arial" w:cs="Arial"/>
          <w:lang w:val="nl-NL"/>
        </w:rPr>
      </w:pPr>
      <w:r w:rsidRPr="00E45CD5">
        <w:rPr>
          <w:rFonts w:ascii="Arial" w:hAnsi="Arial" w:cs="Arial"/>
          <w:noProof/>
          <w:lang w:eastAsia="nl-BE"/>
        </w:rPr>
        <w:lastRenderedPageBreak/>
        <w:drawing>
          <wp:inline distT="0" distB="0" distL="0" distR="0" wp14:anchorId="3284EB0B" wp14:editId="3039E475">
            <wp:extent cx="5772150" cy="3228975"/>
            <wp:effectExtent l="19050" t="0" r="0" b="0"/>
            <wp:docPr id="5" name="Afbeelding 4" descr="afbeeldinghoofdstuk 3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hoofdstuk 3fig5"/>
                    <pic:cNvPicPr>
                      <a:picLocks noChangeAspect="1" noChangeArrowheads="1"/>
                    </pic:cNvPicPr>
                  </pic:nvPicPr>
                  <pic:blipFill>
                    <a:blip r:embed="rId13" cstate="print"/>
                    <a:srcRect/>
                    <a:stretch>
                      <a:fillRect/>
                    </a:stretch>
                  </pic:blipFill>
                  <pic:spPr bwMode="auto">
                    <a:xfrm>
                      <a:off x="0" y="0"/>
                      <a:ext cx="5772150" cy="3228975"/>
                    </a:xfrm>
                    <a:prstGeom prst="rect">
                      <a:avLst/>
                    </a:prstGeom>
                    <a:noFill/>
                    <a:ln w="9525">
                      <a:noFill/>
                      <a:miter lim="800000"/>
                      <a:headEnd/>
                      <a:tailEnd/>
                    </a:ln>
                  </pic:spPr>
                </pic:pic>
              </a:graphicData>
            </a:graphic>
          </wp:inline>
        </w:drawing>
      </w:r>
    </w:p>
    <w:p w14:paraId="3D1540F5" w14:textId="77777777" w:rsidR="00020251" w:rsidRPr="00E45CD5" w:rsidRDefault="00020251" w:rsidP="00020251">
      <w:pPr>
        <w:tabs>
          <w:tab w:val="left" w:pos="-1440"/>
          <w:tab w:val="left" w:pos="-720"/>
        </w:tabs>
        <w:spacing w:line="240" w:lineRule="auto"/>
        <w:rPr>
          <w:rFonts w:ascii="Arial" w:hAnsi="Arial" w:cs="Arial"/>
          <w:b/>
          <w:sz w:val="28"/>
          <w:szCs w:val="28"/>
          <w:lang w:val="nl-NL"/>
        </w:rPr>
      </w:pPr>
      <w:r w:rsidRPr="00E45CD5">
        <w:rPr>
          <w:rFonts w:ascii="Arial" w:hAnsi="Arial" w:cs="Arial"/>
          <w:b/>
          <w:sz w:val="28"/>
          <w:szCs w:val="28"/>
          <w:lang w:val="nl-NL"/>
        </w:rPr>
        <w:br w:type="page"/>
      </w:r>
      <w:r w:rsidRPr="00E45CD5">
        <w:rPr>
          <w:rFonts w:ascii="Arial" w:hAnsi="Arial" w:cs="Arial"/>
          <w:b/>
          <w:sz w:val="28"/>
          <w:szCs w:val="28"/>
          <w:lang w:val="nl-NL"/>
        </w:rPr>
        <w:lastRenderedPageBreak/>
        <w:t>3. OC SOCIO</w:t>
      </w:r>
    </w:p>
    <w:p w14:paraId="7369CA65" w14:textId="77777777" w:rsidR="00020251" w:rsidRPr="00E45CD5" w:rsidRDefault="00020251" w:rsidP="00020251">
      <w:pPr>
        <w:tabs>
          <w:tab w:val="left" w:pos="-1440"/>
          <w:tab w:val="left" w:pos="-720"/>
        </w:tabs>
        <w:spacing w:line="240" w:lineRule="auto"/>
        <w:jc w:val="both"/>
        <w:rPr>
          <w:rFonts w:ascii="Arial" w:eastAsia="Calibri" w:hAnsi="Arial" w:cs="Arial"/>
          <w:lang w:val="nl-NL"/>
        </w:rPr>
      </w:pPr>
    </w:p>
    <w:p w14:paraId="3C868B43"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Voorbeeld : Geen/onvolledige verwijzing naar bron</w:t>
      </w:r>
    </w:p>
    <w:p w14:paraId="10996BE0"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lang w:val="nl-NL"/>
        </w:rPr>
      </w:pPr>
      <w:r w:rsidRPr="00E45CD5">
        <w:rPr>
          <w:rFonts w:ascii="Arial" w:eastAsia="Calibri" w:hAnsi="Arial" w:cs="Arial"/>
          <w:sz w:val="20"/>
          <w:szCs w:val="20"/>
          <w:lang w:val="nl-NL"/>
        </w:rPr>
        <w:t>Via een explorerend vooronderzoek, werden volgende dimensies bekomen (zie figuur 1). Deze dimensies vallen telkens uiteen in tegengestelde schalen, die ook in de tabel worden weergegeven.</w:t>
      </w:r>
    </w:p>
    <w:p w14:paraId="68CC1E61"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lang w:val="nl-NL"/>
        </w:rPr>
      </w:pPr>
    </w:p>
    <w:p w14:paraId="79B65D4E"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lang w:val="nl-NL"/>
        </w:rPr>
      </w:pPr>
      <w:r w:rsidRPr="00E45CD5">
        <w:rPr>
          <w:rFonts w:ascii="Arial" w:eastAsia="Calibri" w:hAnsi="Arial" w:cs="Arial"/>
          <w:b/>
          <w:sz w:val="20"/>
          <w:szCs w:val="20"/>
          <w:lang w:val="nl-NL"/>
        </w:rPr>
        <w:t xml:space="preserve">    Figuur 1: Verschillende dimensies en hun tegengestelde schalen.</w:t>
      </w:r>
    </w:p>
    <w:p w14:paraId="64267305"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lang w:val="nl-NL"/>
        </w:rPr>
      </w:pPr>
      <w:r w:rsidRPr="00E45CD5">
        <w:rPr>
          <w:rFonts w:ascii="Arial" w:eastAsia="Calibri" w:hAnsi="Arial" w:cs="Arial"/>
          <w:b/>
          <w:noProof/>
          <w:sz w:val="20"/>
          <w:szCs w:val="20"/>
          <w:lang w:eastAsia="nl-BE"/>
        </w:rPr>
        <w:drawing>
          <wp:inline distT="0" distB="0" distL="0" distR="0" wp14:anchorId="37FE1FB7" wp14:editId="2B1386B3">
            <wp:extent cx="5153025" cy="1609725"/>
            <wp:effectExtent l="19050" t="0" r="9525"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cstate="print"/>
                    <a:srcRect/>
                    <a:stretch>
                      <a:fillRect/>
                    </a:stretch>
                  </pic:blipFill>
                  <pic:spPr bwMode="auto">
                    <a:xfrm>
                      <a:off x="0" y="0"/>
                      <a:ext cx="5153025" cy="1609725"/>
                    </a:xfrm>
                    <a:prstGeom prst="rect">
                      <a:avLst/>
                    </a:prstGeom>
                    <a:noFill/>
                    <a:ln w="9525">
                      <a:noFill/>
                      <a:miter lim="800000"/>
                      <a:headEnd/>
                      <a:tailEnd/>
                    </a:ln>
                  </pic:spPr>
                </pic:pic>
              </a:graphicData>
            </a:graphic>
          </wp:inline>
        </w:drawing>
      </w:r>
    </w:p>
    <w:p w14:paraId="3217600F"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lang w:val="nl-NL"/>
        </w:rPr>
      </w:pPr>
    </w:p>
    <w:p w14:paraId="45CCDFBD"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Correcte manier van weergeven:</w:t>
      </w:r>
    </w:p>
    <w:p w14:paraId="5FB029A7"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lang w:val="nl-NL"/>
        </w:rPr>
      </w:pPr>
    </w:p>
    <w:p w14:paraId="043ADD43"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lang w:val="nl-NL"/>
        </w:rPr>
      </w:pPr>
      <w:r w:rsidRPr="00E45CD5">
        <w:rPr>
          <w:rFonts w:ascii="Arial" w:eastAsia="Calibri" w:hAnsi="Arial" w:cs="Arial"/>
          <w:sz w:val="20"/>
          <w:szCs w:val="20"/>
          <w:lang w:val="nl-NL"/>
        </w:rPr>
        <w:t>Op basis van een onderzoek, uitgevoerd door Blokhuis (2003), werden volgende dimensies bekomen (zie figuur 1). Deze auteur toonde aan dat deze dimensies telkens uiteenvallen in tegengestelde schalen, die ook in de tabel worden weergegeven.</w:t>
      </w:r>
    </w:p>
    <w:p w14:paraId="614714E7"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lang w:val="nl-NL"/>
        </w:rPr>
      </w:pPr>
    </w:p>
    <w:p w14:paraId="7EF9B948"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lang w:val="nl-NL"/>
        </w:rPr>
      </w:pPr>
      <w:r w:rsidRPr="00E45CD5">
        <w:rPr>
          <w:rFonts w:ascii="Arial" w:eastAsia="Calibri" w:hAnsi="Arial" w:cs="Arial"/>
          <w:noProof/>
          <w:sz w:val="20"/>
          <w:szCs w:val="20"/>
          <w:lang w:eastAsia="nl-BE"/>
        </w:rPr>
        <w:drawing>
          <wp:inline distT="0" distB="0" distL="0" distR="0" wp14:anchorId="272344FD" wp14:editId="0F1A6E16">
            <wp:extent cx="5095875" cy="1581150"/>
            <wp:effectExtent l="19050" t="0" r="9525"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cstate="print"/>
                    <a:srcRect/>
                    <a:stretch>
                      <a:fillRect/>
                    </a:stretch>
                  </pic:blipFill>
                  <pic:spPr bwMode="auto">
                    <a:xfrm>
                      <a:off x="0" y="0"/>
                      <a:ext cx="5095875" cy="1581150"/>
                    </a:xfrm>
                    <a:prstGeom prst="rect">
                      <a:avLst/>
                    </a:prstGeom>
                    <a:noFill/>
                    <a:ln w="9525">
                      <a:noFill/>
                      <a:miter lim="800000"/>
                      <a:headEnd/>
                      <a:tailEnd/>
                    </a:ln>
                  </pic:spPr>
                </pic:pic>
              </a:graphicData>
            </a:graphic>
          </wp:inline>
        </w:drawing>
      </w:r>
    </w:p>
    <w:p w14:paraId="4D45F76A"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lang w:val="nl-NL"/>
        </w:rPr>
      </w:pPr>
      <w:r w:rsidRPr="00E45CD5">
        <w:rPr>
          <w:rFonts w:ascii="Arial" w:eastAsia="Calibri" w:hAnsi="Arial" w:cs="Arial"/>
          <w:b/>
          <w:sz w:val="20"/>
          <w:szCs w:val="20"/>
          <w:lang w:val="nl-NL"/>
        </w:rPr>
        <w:t xml:space="preserve">    Figuur 1: Verschillende dimensies en hun tegengestelde schalen.</w:t>
      </w:r>
    </w:p>
    <w:p w14:paraId="10318BE1" w14:textId="77777777" w:rsidR="00020251" w:rsidRPr="00E45CD5" w:rsidRDefault="00020251" w:rsidP="00020251">
      <w:pPr>
        <w:tabs>
          <w:tab w:val="left" w:pos="-1440"/>
          <w:tab w:val="left" w:pos="-720"/>
        </w:tabs>
        <w:spacing w:line="240" w:lineRule="auto"/>
        <w:jc w:val="both"/>
        <w:rPr>
          <w:rFonts w:ascii="Arial" w:eastAsia="Calibri" w:hAnsi="Arial" w:cs="Arial"/>
          <w:bCs/>
          <w:sz w:val="20"/>
          <w:szCs w:val="20"/>
        </w:rPr>
      </w:pPr>
      <w:r w:rsidRPr="00E45CD5">
        <w:rPr>
          <w:rFonts w:ascii="Arial" w:eastAsia="Calibri" w:hAnsi="Arial" w:cs="Arial"/>
          <w:sz w:val="20"/>
          <w:szCs w:val="20"/>
          <w:lang w:val="nl-NL"/>
        </w:rPr>
        <w:t xml:space="preserve">    (Bron: Blokhuis, 2003, p. 103)</w:t>
      </w:r>
    </w:p>
    <w:p w14:paraId="57CFFF91" w14:textId="77777777" w:rsidR="00020251" w:rsidRPr="00E45CD5" w:rsidRDefault="00020251" w:rsidP="00020251">
      <w:pPr>
        <w:tabs>
          <w:tab w:val="left" w:pos="-1440"/>
          <w:tab w:val="left" w:pos="-720"/>
        </w:tabs>
        <w:spacing w:line="240" w:lineRule="auto"/>
        <w:jc w:val="both"/>
        <w:rPr>
          <w:rFonts w:ascii="Arial" w:eastAsia="Calibri" w:hAnsi="Arial" w:cs="Arial"/>
          <w:bCs/>
          <w:sz w:val="20"/>
          <w:szCs w:val="20"/>
        </w:rPr>
      </w:pPr>
    </w:p>
    <w:p w14:paraId="618C4CCB" w14:textId="77777777" w:rsidR="00020251" w:rsidRPr="00E45CD5" w:rsidRDefault="00020251" w:rsidP="00020251">
      <w:pPr>
        <w:tabs>
          <w:tab w:val="left" w:pos="-1440"/>
          <w:tab w:val="left" w:pos="-720"/>
        </w:tabs>
        <w:spacing w:line="240" w:lineRule="auto"/>
        <w:jc w:val="both"/>
        <w:rPr>
          <w:rFonts w:ascii="Arial" w:eastAsia="Calibri" w:hAnsi="Arial" w:cs="Arial"/>
          <w:bCs/>
          <w:sz w:val="20"/>
          <w:szCs w:val="20"/>
        </w:rPr>
      </w:pPr>
    </w:p>
    <w:p w14:paraId="5E6AEFE5" w14:textId="77777777" w:rsidR="00020251" w:rsidRPr="00E45CD5" w:rsidRDefault="00020251" w:rsidP="00020251">
      <w:pPr>
        <w:tabs>
          <w:tab w:val="left" w:pos="-1440"/>
          <w:tab w:val="left" w:pos="-720"/>
        </w:tabs>
        <w:spacing w:line="240" w:lineRule="auto"/>
        <w:jc w:val="both"/>
        <w:rPr>
          <w:rFonts w:ascii="Arial" w:eastAsia="Calibri" w:hAnsi="Arial" w:cs="Arial"/>
          <w:bCs/>
          <w:sz w:val="20"/>
          <w:szCs w:val="20"/>
        </w:rPr>
      </w:pPr>
    </w:p>
    <w:p w14:paraId="47821076" w14:textId="77777777" w:rsidR="00020251" w:rsidRPr="00E45CD5" w:rsidRDefault="00020251" w:rsidP="00020251">
      <w:pPr>
        <w:tabs>
          <w:tab w:val="left" w:pos="-1440"/>
          <w:tab w:val="left" w:pos="-720"/>
        </w:tabs>
        <w:spacing w:line="240" w:lineRule="auto"/>
        <w:jc w:val="both"/>
        <w:rPr>
          <w:rFonts w:ascii="Arial" w:eastAsia="Calibri" w:hAnsi="Arial" w:cs="Arial"/>
          <w:b/>
          <w:bCs/>
          <w:sz w:val="20"/>
          <w:szCs w:val="20"/>
        </w:rPr>
      </w:pPr>
      <w:r w:rsidRPr="00E45CD5">
        <w:rPr>
          <w:rFonts w:ascii="Arial" w:eastAsia="Calibri" w:hAnsi="Arial" w:cs="Arial"/>
          <w:b/>
          <w:bCs/>
          <w:sz w:val="20"/>
          <w:szCs w:val="20"/>
        </w:rPr>
        <w:br w:type="page"/>
      </w:r>
      <w:r w:rsidRPr="00E45CD5">
        <w:rPr>
          <w:rFonts w:ascii="Arial" w:eastAsia="Calibri" w:hAnsi="Arial" w:cs="Arial"/>
          <w:b/>
          <w:bCs/>
          <w:sz w:val="20"/>
          <w:szCs w:val="20"/>
        </w:rPr>
        <w:lastRenderedPageBreak/>
        <w:t>Voorbeeld 5: Plagiaat bij volledige/partiële overname van structuren</w:t>
      </w:r>
    </w:p>
    <w:p w14:paraId="63BE6AC3" w14:textId="77777777" w:rsidR="00020251" w:rsidRPr="00E45CD5" w:rsidRDefault="00020251" w:rsidP="00020251">
      <w:pPr>
        <w:tabs>
          <w:tab w:val="left" w:pos="-1440"/>
          <w:tab w:val="left" w:pos="-720"/>
        </w:tabs>
        <w:spacing w:line="240" w:lineRule="auto"/>
        <w:jc w:val="both"/>
        <w:rPr>
          <w:rFonts w:ascii="Arial" w:eastAsia="Calibri" w:hAnsi="Arial" w:cs="Arial"/>
          <w:b/>
          <w:bCs/>
          <w:sz w:val="20"/>
          <w:szCs w:val="20"/>
        </w:rPr>
      </w:pPr>
    </w:p>
    <w:p w14:paraId="1B12AA43"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r w:rsidRPr="00E45CD5">
        <w:rPr>
          <w:rFonts w:ascii="Arial" w:eastAsia="Calibri" w:hAnsi="Arial" w:cs="Arial"/>
          <w:sz w:val="20"/>
          <w:szCs w:val="20"/>
        </w:rPr>
        <w:t>Uiteindelijk komen we tot volgend model, die het uitgangspunt vormt van deze studie:</w:t>
      </w:r>
    </w:p>
    <w:p w14:paraId="361A83A3"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rPr>
      </w:pPr>
    </w:p>
    <w:p w14:paraId="3238E001"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lang w:val="en-US"/>
        </w:rPr>
      </w:pPr>
      <w:r w:rsidRPr="00E45CD5">
        <w:rPr>
          <w:rFonts w:ascii="Arial" w:eastAsia="Calibri" w:hAnsi="Arial" w:cs="Arial"/>
          <w:b/>
          <w:noProof/>
          <w:sz w:val="20"/>
          <w:szCs w:val="20"/>
          <w:lang w:eastAsia="nl-BE"/>
        </w:rPr>
        <w:drawing>
          <wp:inline distT="0" distB="0" distL="0" distR="0" wp14:anchorId="03FE031C" wp14:editId="42C9F6BA">
            <wp:extent cx="4010025" cy="3048000"/>
            <wp:effectExtent l="19050" t="0" r="9525"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5" cstate="print"/>
                    <a:srcRect/>
                    <a:stretch>
                      <a:fillRect/>
                    </a:stretch>
                  </pic:blipFill>
                  <pic:spPr bwMode="auto">
                    <a:xfrm>
                      <a:off x="0" y="0"/>
                      <a:ext cx="4010025" cy="3048000"/>
                    </a:xfrm>
                    <a:prstGeom prst="rect">
                      <a:avLst/>
                    </a:prstGeom>
                    <a:noFill/>
                    <a:ln w="9525">
                      <a:noFill/>
                      <a:miter lim="800000"/>
                      <a:headEnd/>
                      <a:tailEnd/>
                    </a:ln>
                  </pic:spPr>
                </pic:pic>
              </a:graphicData>
            </a:graphic>
          </wp:inline>
        </w:drawing>
      </w:r>
    </w:p>
    <w:p w14:paraId="4AF64D65"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rPr>
      </w:pPr>
      <w:r w:rsidRPr="00E45CD5">
        <w:rPr>
          <w:rFonts w:ascii="Arial" w:eastAsia="Calibri" w:hAnsi="Arial" w:cs="Arial"/>
          <w:b/>
          <w:sz w:val="20"/>
          <w:szCs w:val="20"/>
        </w:rPr>
        <w:t>Figuur 1: Conceptueel model</w:t>
      </w:r>
    </w:p>
    <w:p w14:paraId="6603FD05"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rPr>
      </w:pPr>
    </w:p>
    <w:p w14:paraId="420EA725" w14:textId="77777777" w:rsidR="00020251" w:rsidRPr="00E45CD5" w:rsidRDefault="00020251" w:rsidP="00020251">
      <w:pPr>
        <w:tabs>
          <w:tab w:val="left" w:pos="-1440"/>
          <w:tab w:val="left" w:pos="-720"/>
        </w:tabs>
        <w:spacing w:line="240" w:lineRule="auto"/>
        <w:rPr>
          <w:rFonts w:ascii="Arial" w:hAnsi="Arial" w:cs="Arial"/>
          <w:b/>
          <w:kern w:val="1"/>
          <w:sz w:val="20"/>
          <w:szCs w:val="20"/>
          <w:lang w:val="nl-NL"/>
        </w:rPr>
      </w:pPr>
      <w:r w:rsidRPr="00E45CD5">
        <w:rPr>
          <w:rFonts w:ascii="Arial" w:hAnsi="Arial" w:cs="Arial"/>
          <w:b/>
          <w:kern w:val="1"/>
          <w:sz w:val="20"/>
          <w:szCs w:val="20"/>
          <w:lang w:val="nl-NL"/>
        </w:rPr>
        <w:t>Correcte manier van weergeven:</w:t>
      </w:r>
    </w:p>
    <w:p w14:paraId="472F19B9"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rPr>
      </w:pPr>
    </w:p>
    <w:p w14:paraId="74FA9B88"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r w:rsidRPr="00E45CD5">
        <w:rPr>
          <w:rFonts w:ascii="Arial" w:eastAsia="Calibri" w:hAnsi="Arial" w:cs="Arial"/>
          <w:sz w:val="20"/>
          <w:szCs w:val="20"/>
        </w:rPr>
        <w:t>Bij het uitwerken van deze studie, vertrokken we van het volgende conceptueel model, ontwikkeld door Blokhuis (2003):</w:t>
      </w:r>
    </w:p>
    <w:p w14:paraId="4D2D9BA1"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rPr>
      </w:pPr>
    </w:p>
    <w:p w14:paraId="69B846A1"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rPr>
      </w:pPr>
      <w:r w:rsidRPr="00E45CD5">
        <w:rPr>
          <w:rFonts w:ascii="Arial" w:eastAsia="Calibri" w:hAnsi="Arial" w:cs="Arial"/>
          <w:b/>
          <w:noProof/>
          <w:sz w:val="20"/>
          <w:szCs w:val="20"/>
          <w:lang w:eastAsia="nl-BE"/>
        </w:rPr>
        <w:drawing>
          <wp:inline distT="0" distB="0" distL="0" distR="0" wp14:anchorId="590B2831" wp14:editId="1C11CBDA">
            <wp:extent cx="3971925" cy="3019425"/>
            <wp:effectExtent l="19050" t="0" r="9525" b="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5" cstate="print"/>
                    <a:srcRect/>
                    <a:stretch>
                      <a:fillRect/>
                    </a:stretch>
                  </pic:blipFill>
                  <pic:spPr bwMode="auto">
                    <a:xfrm>
                      <a:off x="0" y="0"/>
                      <a:ext cx="3971925" cy="3019425"/>
                    </a:xfrm>
                    <a:prstGeom prst="rect">
                      <a:avLst/>
                    </a:prstGeom>
                    <a:noFill/>
                    <a:ln w="9525">
                      <a:noFill/>
                      <a:miter lim="800000"/>
                      <a:headEnd/>
                      <a:tailEnd/>
                    </a:ln>
                  </pic:spPr>
                </pic:pic>
              </a:graphicData>
            </a:graphic>
          </wp:inline>
        </w:drawing>
      </w:r>
    </w:p>
    <w:p w14:paraId="5D7A71D7" w14:textId="77777777" w:rsidR="00020251" w:rsidRPr="00E45CD5" w:rsidRDefault="00020251" w:rsidP="00020251">
      <w:pPr>
        <w:tabs>
          <w:tab w:val="left" w:pos="-1440"/>
          <w:tab w:val="left" w:pos="-720"/>
        </w:tabs>
        <w:spacing w:line="240" w:lineRule="auto"/>
        <w:jc w:val="both"/>
        <w:rPr>
          <w:rFonts w:ascii="Arial" w:eastAsia="Calibri" w:hAnsi="Arial" w:cs="Arial"/>
          <w:b/>
          <w:sz w:val="20"/>
          <w:szCs w:val="20"/>
        </w:rPr>
      </w:pPr>
      <w:r w:rsidRPr="00E45CD5">
        <w:rPr>
          <w:rFonts w:ascii="Arial" w:eastAsia="Calibri" w:hAnsi="Arial" w:cs="Arial"/>
          <w:b/>
          <w:sz w:val="20"/>
          <w:szCs w:val="20"/>
        </w:rPr>
        <w:t>Figuur 1: Conceptueel model</w:t>
      </w:r>
    </w:p>
    <w:p w14:paraId="3D6E3FC3"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r w:rsidRPr="00E45CD5">
        <w:rPr>
          <w:rFonts w:ascii="Arial" w:eastAsia="Calibri" w:hAnsi="Arial" w:cs="Arial"/>
          <w:sz w:val="20"/>
          <w:szCs w:val="20"/>
        </w:rPr>
        <w:t>(Bron: Blokhuis, 2003, p. 100)</w:t>
      </w:r>
    </w:p>
    <w:p w14:paraId="499102F1" w14:textId="77777777" w:rsidR="00020251" w:rsidRPr="00E45CD5" w:rsidRDefault="00020251" w:rsidP="00020251">
      <w:pPr>
        <w:tabs>
          <w:tab w:val="left" w:pos="-1440"/>
          <w:tab w:val="left" w:pos="-720"/>
        </w:tabs>
        <w:spacing w:line="240" w:lineRule="auto"/>
        <w:jc w:val="both"/>
        <w:rPr>
          <w:rFonts w:ascii="Arial" w:eastAsia="Calibri" w:hAnsi="Arial" w:cs="Arial"/>
          <w:sz w:val="20"/>
          <w:szCs w:val="20"/>
        </w:rPr>
      </w:pPr>
    </w:p>
    <w:p w14:paraId="5B2AAEFE" w14:textId="77777777" w:rsidR="00020251" w:rsidRPr="00E45CD5" w:rsidRDefault="00020251" w:rsidP="00020251">
      <w:pPr>
        <w:tabs>
          <w:tab w:val="left" w:pos="-1440"/>
          <w:tab w:val="left" w:pos="-720"/>
        </w:tabs>
        <w:spacing w:line="240" w:lineRule="auto"/>
        <w:jc w:val="both"/>
        <w:rPr>
          <w:rFonts w:ascii="Arial" w:eastAsia="Calibri" w:hAnsi="Arial" w:cs="Arial"/>
          <w:bCs/>
          <w:sz w:val="20"/>
          <w:szCs w:val="20"/>
        </w:rPr>
      </w:pPr>
      <w:r w:rsidRPr="00E45CD5">
        <w:rPr>
          <w:rFonts w:ascii="Arial" w:eastAsia="Calibri" w:hAnsi="Arial" w:cs="Arial"/>
          <w:sz w:val="20"/>
          <w:szCs w:val="20"/>
        </w:rPr>
        <w:t xml:space="preserve"> </w:t>
      </w:r>
    </w:p>
    <w:p w14:paraId="0F881F24" w14:textId="77777777" w:rsidR="00020251" w:rsidRPr="00E45CD5" w:rsidRDefault="00020251" w:rsidP="00020251">
      <w:pPr>
        <w:tabs>
          <w:tab w:val="left" w:pos="-1440"/>
          <w:tab w:val="left" w:pos="-720"/>
        </w:tabs>
        <w:spacing w:line="240" w:lineRule="auto"/>
        <w:rPr>
          <w:rFonts w:ascii="Arial" w:hAnsi="Arial" w:cs="Arial"/>
          <w:b/>
          <w:kern w:val="1"/>
          <w:sz w:val="20"/>
          <w:szCs w:val="20"/>
          <w:u w:val="single"/>
        </w:rPr>
      </w:pPr>
    </w:p>
    <w:p w14:paraId="741F6BE3" w14:textId="77777777" w:rsidR="00020251" w:rsidRDefault="00020251" w:rsidP="00020251">
      <w:pPr>
        <w:tabs>
          <w:tab w:val="left" w:pos="-1440"/>
          <w:tab w:val="left" w:pos="-720"/>
        </w:tabs>
        <w:spacing w:line="240" w:lineRule="auto"/>
        <w:rPr>
          <w:rFonts w:ascii="Arial" w:hAnsi="Arial" w:cs="Arial"/>
          <w:b/>
          <w:kern w:val="1"/>
          <w:sz w:val="20"/>
          <w:szCs w:val="20"/>
          <w:u w:val="single"/>
        </w:rPr>
      </w:pPr>
    </w:p>
    <w:p w14:paraId="747ACC10" w14:textId="77777777" w:rsidR="00020251" w:rsidRDefault="00020251" w:rsidP="00020251">
      <w:pPr>
        <w:tabs>
          <w:tab w:val="left" w:pos="-1440"/>
          <w:tab w:val="left" w:pos="-720"/>
        </w:tabs>
        <w:spacing w:line="240" w:lineRule="auto"/>
        <w:rPr>
          <w:rFonts w:ascii="Arial" w:hAnsi="Arial" w:cs="Arial"/>
          <w:b/>
          <w:kern w:val="1"/>
          <w:sz w:val="20"/>
          <w:szCs w:val="20"/>
          <w:u w:val="single"/>
        </w:rPr>
      </w:pPr>
    </w:p>
    <w:p w14:paraId="25F37188" w14:textId="77777777" w:rsidR="00020251" w:rsidRDefault="00020251" w:rsidP="00020251">
      <w:pPr>
        <w:tabs>
          <w:tab w:val="left" w:pos="-1440"/>
          <w:tab w:val="left" w:pos="-720"/>
        </w:tabs>
        <w:spacing w:line="240" w:lineRule="auto"/>
        <w:rPr>
          <w:rFonts w:ascii="Arial" w:hAnsi="Arial" w:cs="Arial"/>
          <w:b/>
          <w:kern w:val="1"/>
          <w:sz w:val="20"/>
          <w:szCs w:val="20"/>
          <w:u w:val="single"/>
        </w:rPr>
      </w:pPr>
    </w:p>
    <w:p w14:paraId="075741A8" w14:textId="77777777" w:rsidR="00020251" w:rsidRPr="00E45CD5" w:rsidRDefault="00020251" w:rsidP="00020251">
      <w:pPr>
        <w:tabs>
          <w:tab w:val="left" w:pos="-1440"/>
          <w:tab w:val="left" w:pos="-720"/>
        </w:tabs>
        <w:spacing w:line="240" w:lineRule="auto"/>
        <w:rPr>
          <w:rFonts w:ascii="Arial" w:hAnsi="Arial" w:cs="Arial"/>
          <w:b/>
          <w:kern w:val="1"/>
          <w:sz w:val="20"/>
          <w:szCs w:val="20"/>
          <w:u w:val="single"/>
        </w:rPr>
      </w:pPr>
      <w:r w:rsidRPr="00E45CD5">
        <w:rPr>
          <w:rFonts w:ascii="Arial" w:hAnsi="Arial" w:cs="Arial"/>
          <w:b/>
          <w:kern w:val="1"/>
          <w:sz w:val="20"/>
          <w:szCs w:val="20"/>
          <w:u w:val="single"/>
        </w:rPr>
        <w:lastRenderedPageBreak/>
        <w:t>Bibliografie:</w:t>
      </w:r>
    </w:p>
    <w:p w14:paraId="397E75F1" w14:textId="77777777" w:rsidR="00020251" w:rsidRPr="00E45CD5" w:rsidRDefault="00020251" w:rsidP="00020251">
      <w:pPr>
        <w:tabs>
          <w:tab w:val="left" w:pos="-1440"/>
          <w:tab w:val="left" w:pos="-720"/>
        </w:tabs>
        <w:spacing w:line="240" w:lineRule="auto"/>
        <w:jc w:val="both"/>
        <w:rPr>
          <w:rFonts w:ascii="Arial" w:eastAsia="Calibri" w:hAnsi="Arial" w:cs="Arial"/>
          <w:b/>
          <w:bCs/>
          <w:sz w:val="20"/>
          <w:szCs w:val="20"/>
        </w:rPr>
      </w:pPr>
    </w:p>
    <w:p w14:paraId="437F62F6" w14:textId="77777777" w:rsidR="00020251" w:rsidRPr="00E45CD5" w:rsidRDefault="00020251" w:rsidP="00020251">
      <w:pPr>
        <w:tabs>
          <w:tab w:val="left" w:pos="-1440"/>
          <w:tab w:val="left" w:pos="-720"/>
        </w:tabs>
        <w:spacing w:line="240" w:lineRule="auto"/>
        <w:jc w:val="both"/>
        <w:rPr>
          <w:rFonts w:ascii="Arial" w:eastAsia="Calibri" w:hAnsi="Arial" w:cs="Arial"/>
          <w:bCs/>
          <w:sz w:val="20"/>
          <w:szCs w:val="20"/>
          <w:lang w:val="en-US"/>
        </w:rPr>
      </w:pPr>
      <w:r w:rsidRPr="00E45CD5">
        <w:rPr>
          <w:rFonts w:ascii="Arial" w:eastAsia="Calibri" w:hAnsi="Arial" w:cs="Arial"/>
          <w:sz w:val="20"/>
          <w:szCs w:val="20"/>
        </w:rPr>
        <w:t xml:space="preserve">Blokhuis, F.T.L. (2003). </w:t>
      </w:r>
      <w:r w:rsidRPr="00E45CD5">
        <w:rPr>
          <w:rFonts w:ascii="Arial" w:eastAsia="Calibri" w:hAnsi="Arial" w:cs="Arial"/>
          <w:bCs/>
          <w:sz w:val="20"/>
          <w:szCs w:val="20"/>
          <w:lang w:val="en-US"/>
        </w:rPr>
        <w:t xml:space="preserve">Using the learning possibilities at the workplace   </w:t>
      </w:r>
      <w:r w:rsidRPr="00E45CD5">
        <w:rPr>
          <w:rFonts w:ascii="Arial" w:eastAsia="Calibri" w:hAnsi="Arial" w:cs="Arial"/>
          <w:bCs/>
          <w:sz w:val="20"/>
          <w:szCs w:val="20"/>
          <w:lang w:val="en-US"/>
        </w:rPr>
        <w:br/>
        <w:t xml:space="preserve">effectively. Paper presented at the EARLI conference, Padova, Italy, August 27, </w:t>
      </w:r>
      <w:r w:rsidRPr="00E45CD5">
        <w:rPr>
          <w:rFonts w:ascii="Arial" w:eastAsia="Calibri" w:hAnsi="Arial" w:cs="Arial"/>
          <w:bCs/>
          <w:sz w:val="20"/>
          <w:szCs w:val="20"/>
          <w:lang w:val="en-US"/>
        </w:rPr>
        <w:br/>
        <w:t>2003.</w:t>
      </w:r>
    </w:p>
    <w:p w14:paraId="09044AFE" w14:textId="77777777" w:rsidR="00020251" w:rsidRPr="00E45CD5" w:rsidRDefault="00020251" w:rsidP="00020251">
      <w:pPr>
        <w:tabs>
          <w:tab w:val="left" w:pos="-1440"/>
          <w:tab w:val="left" w:pos="-720"/>
        </w:tabs>
        <w:spacing w:line="240" w:lineRule="auto"/>
        <w:jc w:val="both"/>
        <w:rPr>
          <w:rFonts w:ascii="Arial" w:eastAsia="Calibri" w:hAnsi="Arial" w:cs="Arial"/>
          <w:b/>
          <w:bCs/>
          <w:sz w:val="20"/>
          <w:szCs w:val="20"/>
          <w:lang w:val="en-US"/>
        </w:rPr>
      </w:pPr>
    </w:p>
    <w:p w14:paraId="04BD9AAA" w14:textId="77777777" w:rsidR="00020251" w:rsidRPr="00FB30FC" w:rsidRDefault="00020251" w:rsidP="00020251">
      <w:pPr>
        <w:tabs>
          <w:tab w:val="left" w:pos="-1440"/>
          <w:tab w:val="left" w:pos="-720"/>
        </w:tabs>
        <w:spacing w:line="240" w:lineRule="auto"/>
        <w:jc w:val="both"/>
        <w:rPr>
          <w:rFonts w:ascii="Arial" w:eastAsia="Calibri" w:hAnsi="Arial" w:cs="Arial"/>
          <w:bCs/>
          <w:sz w:val="20"/>
          <w:szCs w:val="20"/>
        </w:rPr>
      </w:pPr>
      <w:proofErr w:type="spellStart"/>
      <w:r w:rsidRPr="00E45CD5">
        <w:rPr>
          <w:rFonts w:ascii="Arial" w:eastAsia="Calibri" w:hAnsi="Arial" w:cs="Arial"/>
          <w:bCs/>
          <w:sz w:val="20"/>
          <w:szCs w:val="20"/>
          <w:lang w:val="en-US"/>
        </w:rPr>
        <w:t>Mastekaasa</w:t>
      </w:r>
      <w:proofErr w:type="spellEnd"/>
      <w:r w:rsidRPr="00E45CD5">
        <w:rPr>
          <w:rFonts w:ascii="Arial" w:eastAsia="Calibri" w:hAnsi="Arial" w:cs="Arial"/>
          <w:bCs/>
          <w:sz w:val="20"/>
          <w:szCs w:val="20"/>
          <w:lang w:val="en-US"/>
        </w:rPr>
        <w:t xml:space="preserve">, A. &amp; </w:t>
      </w:r>
      <w:proofErr w:type="spellStart"/>
      <w:r w:rsidRPr="00E45CD5">
        <w:rPr>
          <w:rFonts w:ascii="Arial" w:eastAsia="Calibri" w:hAnsi="Arial" w:cs="Arial"/>
          <w:bCs/>
          <w:sz w:val="20"/>
          <w:szCs w:val="20"/>
          <w:lang w:val="en-US"/>
        </w:rPr>
        <w:t>Smeby</w:t>
      </w:r>
      <w:proofErr w:type="spellEnd"/>
      <w:r w:rsidRPr="00E45CD5">
        <w:rPr>
          <w:rFonts w:ascii="Arial" w:eastAsia="Calibri" w:hAnsi="Arial" w:cs="Arial"/>
          <w:bCs/>
          <w:sz w:val="20"/>
          <w:szCs w:val="20"/>
          <w:lang w:val="en-US"/>
        </w:rPr>
        <w:t xml:space="preserve">, J. C. (2008). Educational choice and persistence in male- and female-dominated fields. </w:t>
      </w:r>
      <w:proofErr w:type="spellStart"/>
      <w:r w:rsidRPr="00FB30FC">
        <w:rPr>
          <w:rFonts w:ascii="Arial" w:eastAsia="Calibri" w:hAnsi="Arial" w:cs="Arial"/>
          <w:bCs/>
          <w:i/>
          <w:sz w:val="20"/>
          <w:szCs w:val="20"/>
        </w:rPr>
        <w:t>Higher</w:t>
      </w:r>
      <w:proofErr w:type="spellEnd"/>
      <w:r w:rsidRPr="00FB30FC">
        <w:rPr>
          <w:rFonts w:ascii="Arial" w:eastAsia="Calibri" w:hAnsi="Arial" w:cs="Arial"/>
          <w:bCs/>
          <w:i/>
          <w:sz w:val="20"/>
          <w:szCs w:val="20"/>
        </w:rPr>
        <w:t xml:space="preserve"> </w:t>
      </w:r>
      <w:proofErr w:type="spellStart"/>
      <w:r w:rsidRPr="00FB30FC">
        <w:rPr>
          <w:rFonts w:ascii="Arial" w:eastAsia="Calibri" w:hAnsi="Arial" w:cs="Arial"/>
          <w:bCs/>
          <w:i/>
          <w:sz w:val="20"/>
          <w:szCs w:val="20"/>
        </w:rPr>
        <w:t>Education</w:t>
      </w:r>
      <w:proofErr w:type="spellEnd"/>
      <w:r w:rsidRPr="00FB30FC">
        <w:rPr>
          <w:rFonts w:ascii="Arial" w:eastAsia="Calibri" w:hAnsi="Arial" w:cs="Arial"/>
          <w:bCs/>
          <w:i/>
          <w:sz w:val="20"/>
          <w:szCs w:val="20"/>
        </w:rPr>
        <w:t>, 55,</w:t>
      </w:r>
      <w:r w:rsidRPr="00FB30FC">
        <w:rPr>
          <w:rFonts w:ascii="Arial" w:eastAsia="Calibri" w:hAnsi="Arial" w:cs="Arial"/>
          <w:bCs/>
          <w:sz w:val="20"/>
          <w:szCs w:val="20"/>
        </w:rPr>
        <w:t xml:space="preserve"> 189-202.</w:t>
      </w:r>
    </w:p>
    <w:p w14:paraId="78E31B8F" w14:textId="77777777" w:rsidR="00020251" w:rsidRPr="00FB30FC" w:rsidRDefault="00020251" w:rsidP="00020251">
      <w:pPr>
        <w:tabs>
          <w:tab w:val="left" w:pos="-1440"/>
          <w:tab w:val="left" w:pos="-720"/>
        </w:tabs>
        <w:spacing w:line="240" w:lineRule="auto"/>
        <w:jc w:val="both"/>
        <w:rPr>
          <w:rFonts w:ascii="Arial" w:eastAsia="Calibri" w:hAnsi="Arial" w:cs="Arial"/>
          <w:b/>
          <w:bCs/>
          <w:sz w:val="20"/>
          <w:szCs w:val="20"/>
        </w:rPr>
      </w:pPr>
    </w:p>
    <w:p w14:paraId="3BA538CE" w14:textId="77777777" w:rsidR="00020251" w:rsidRPr="00E45CD5" w:rsidRDefault="00020251" w:rsidP="00020251">
      <w:pPr>
        <w:tabs>
          <w:tab w:val="left" w:pos="-1440"/>
          <w:tab w:val="left" w:pos="-720"/>
        </w:tabs>
        <w:spacing w:line="240" w:lineRule="auto"/>
        <w:jc w:val="both"/>
        <w:rPr>
          <w:rFonts w:ascii="Arial" w:eastAsia="Calibri" w:hAnsi="Arial" w:cs="Arial"/>
          <w:bCs/>
          <w:sz w:val="20"/>
          <w:szCs w:val="20"/>
        </w:rPr>
      </w:pPr>
      <w:r w:rsidRPr="00FB30FC">
        <w:rPr>
          <w:rFonts w:ascii="Arial" w:eastAsia="Calibri" w:hAnsi="Arial" w:cs="Arial"/>
          <w:bCs/>
          <w:sz w:val="20"/>
          <w:szCs w:val="20"/>
        </w:rPr>
        <w:t xml:space="preserve">Vranken, J., </w:t>
      </w:r>
      <w:proofErr w:type="spellStart"/>
      <w:r w:rsidRPr="00FB30FC">
        <w:rPr>
          <w:rFonts w:ascii="Arial" w:eastAsia="Calibri" w:hAnsi="Arial" w:cs="Arial"/>
          <w:bCs/>
          <w:sz w:val="20"/>
          <w:szCs w:val="20"/>
        </w:rPr>
        <w:t>Campaert</w:t>
      </w:r>
      <w:proofErr w:type="spellEnd"/>
      <w:r w:rsidRPr="00FB30FC">
        <w:rPr>
          <w:rFonts w:ascii="Arial" w:eastAsia="Calibri" w:hAnsi="Arial" w:cs="Arial"/>
          <w:bCs/>
          <w:sz w:val="20"/>
          <w:szCs w:val="20"/>
        </w:rPr>
        <w:t xml:space="preserve">, G., De </w:t>
      </w:r>
      <w:proofErr w:type="spellStart"/>
      <w:r w:rsidRPr="00FB30FC">
        <w:rPr>
          <w:rFonts w:ascii="Arial" w:eastAsia="Calibri" w:hAnsi="Arial" w:cs="Arial"/>
          <w:bCs/>
          <w:sz w:val="20"/>
          <w:szCs w:val="20"/>
        </w:rPr>
        <w:t>Boyser</w:t>
      </w:r>
      <w:proofErr w:type="spellEnd"/>
      <w:r w:rsidRPr="00FB30FC">
        <w:rPr>
          <w:rFonts w:ascii="Arial" w:eastAsia="Calibri" w:hAnsi="Arial" w:cs="Arial"/>
          <w:bCs/>
          <w:sz w:val="20"/>
          <w:szCs w:val="20"/>
        </w:rPr>
        <w:t xml:space="preserve">, K. &amp; Dierckx, D. (2007). </w:t>
      </w:r>
      <w:r w:rsidRPr="00E45CD5">
        <w:rPr>
          <w:rFonts w:ascii="Arial" w:eastAsia="Calibri" w:hAnsi="Arial" w:cs="Arial"/>
          <w:bCs/>
          <w:i/>
          <w:sz w:val="20"/>
          <w:szCs w:val="20"/>
        </w:rPr>
        <w:t>Armoede en sociale uitsluiting.</w:t>
      </w:r>
      <w:r w:rsidRPr="00E45CD5">
        <w:rPr>
          <w:rFonts w:ascii="Arial" w:eastAsia="Calibri" w:hAnsi="Arial" w:cs="Arial"/>
          <w:bCs/>
          <w:sz w:val="20"/>
          <w:szCs w:val="20"/>
        </w:rPr>
        <w:t xml:space="preserve"> </w:t>
      </w:r>
      <w:r w:rsidRPr="00E45CD5">
        <w:rPr>
          <w:rFonts w:ascii="Arial" w:eastAsia="Calibri" w:hAnsi="Arial" w:cs="Arial"/>
          <w:bCs/>
          <w:i/>
          <w:sz w:val="20"/>
          <w:szCs w:val="20"/>
        </w:rPr>
        <w:t>Jaarboek 2007.</w:t>
      </w:r>
      <w:r w:rsidRPr="00E45CD5">
        <w:rPr>
          <w:rFonts w:ascii="Arial" w:eastAsia="Calibri" w:hAnsi="Arial" w:cs="Arial"/>
          <w:bCs/>
          <w:sz w:val="20"/>
          <w:szCs w:val="20"/>
        </w:rPr>
        <w:t xml:space="preserve"> Leuven: </w:t>
      </w:r>
      <w:proofErr w:type="spellStart"/>
      <w:r w:rsidRPr="00E45CD5">
        <w:rPr>
          <w:rFonts w:ascii="Arial" w:eastAsia="Calibri" w:hAnsi="Arial" w:cs="Arial"/>
          <w:bCs/>
          <w:sz w:val="20"/>
          <w:szCs w:val="20"/>
        </w:rPr>
        <w:t>Acco</w:t>
      </w:r>
      <w:proofErr w:type="spellEnd"/>
      <w:r w:rsidRPr="00E45CD5">
        <w:rPr>
          <w:rFonts w:ascii="Arial" w:eastAsia="Calibri" w:hAnsi="Arial" w:cs="Arial"/>
          <w:bCs/>
          <w:sz w:val="20"/>
          <w:szCs w:val="20"/>
        </w:rPr>
        <w:t xml:space="preserve">. Geraadpleegd op 21 oktober 2008 op </w:t>
      </w:r>
      <w:hyperlink r:id="rId16" w:history="1">
        <w:r w:rsidRPr="00E45CD5">
          <w:rPr>
            <w:rStyle w:val="Hyperlink"/>
            <w:rFonts w:ascii="Arial" w:eastAsia="Calibri" w:hAnsi="Arial" w:cs="Arial"/>
            <w:bCs/>
            <w:sz w:val="20"/>
            <w:szCs w:val="20"/>
          </w:rPr>
          <w:t>http://www.armoedebestrijding.be/cijfers_daklozen.htm</w:t>
        </w:r>
      </w:hyperlink>
    </w:p>
    <w:p w14:paraId="4C811A6A" w14:textId="77777777" w:rsidR="00020251" w:rsidRPr="00E45CD5" w:rsidRDefault="00020251" w:rsidP="00020251">
      <w:pPr>
        <w:spacing w:line="240" w:lineRule="auto"/>
        <w:rPr>
          <w:rFonts w:ascii="Arial" w:eastAsia="Times New Roman" w:hAnsi="Arial" w:cs="Arial"/>
          <w:b/>
          <w:bCs/>
          <w:kern w:val="32"/>
          <w:sz w:val="20"/>
          <w:szCs w:val="20"/>
          <w:lang w:val="nl-NL" w:eastAsia="nl-NL"/>
        </w:rPr>
      </w:pPr>
    </w:p>
    <w:p w14:paraId="0FDF3DB6" w14:textId="77777777" w:rsidR="000E35EE" w:rsidRPr="00020251" w:rsidRDefault="00020251">
      <w:pPr>
        <w:rPr>
          <w:b/>
          <w:lang w:val="nl-NL"/>
        </w:rPr>
      </w:pPr>
      <w:bookmarkStart w:id="0" w:name="_GoBack"/>
      <w:bookmarkEnd w:id="0"/>
    </w:p>
    <w:sectPr w:rsidR="000E35EE" w:rsidRPr="00020251" w:rsidSect="002F68C1">
      <w:footerReference w:type="default" r:id="rId17"/>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STIM10-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51726"/>
      <w:docPartObj>
        <w:docPartGallery w:val="Page Numbers (Bottom of Page)"/>
        <w:docPartUnique/>
      </w:docPartObj>
    </w:sdtPr>
    <w:sdtEndPr>
      <w:rPr>
        <w:noProof/>
      </w:rPr>
    </w:sdtEndPr>
    <w:sdtContent>
      <w:p w14:paraId="71C61AD2" w14:textId="77777777" w:rsidR="004B44D1" w:rsidRDefault="00020251">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57FFE612" w14:textId="77777777" w:rsidR="004B44D1" w:rsidRDefault="0002025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CCF"/>
    <w:multiLevelType w:val="hybridMultilevel"/>
    <w:tmpl w:val="71DC897A"/>
    <w:lvl w:ilvl="0" w:tplc="1D92C44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386C59"/>
    <w:multiLevelType w:val="hybridMultilevel"/>
    <w:tmpl w:val="CF72EC48"/>
    <w:lvl w:ilvl="0" w:tplc="4E4E904E">
      <w:start w:val="1"/>
      <w:numFmt w:val="bullet"/>
      <w:lvlText w:val="–"/>
      <w:lvlJc w:val="left"/>
      <w:pPr>
        <w:tabs>
          <w:tab w:val="num" w:pos="720"/>
        </w:tabs>
        <w:ind w:left="720" w:hanging="360"/>
      </w:pPr>
      <w:rPr>
        <w:rFonts w:ascii="Arial" w:hAnsi="Arial" w:hint="default"/>
      </w:rPr>
    </w:lvl>
    <w:lvl w:ilvl="1" w:tplc="641CE498">
      <w:start w:val="1"/>
      <w:numFmt w:val="bullet"/>
      <w:lvlText w:val="–"/>
      <w:lvlJc w:val="left"/>
      <w:pPr>
        <w:tabs>
          <w:tab w:val="num" w:pos="1440"/>
        </w:tabs>
        <w:ind w:left="1440" w:hanging="360"/>
      </w:pPr>
      <w:rPr>
        <w:rFonts w:ascii="Arial" w:hAnsi="Arial" w:hint="default"/>
      </w:rPr>
    </w:lvl>
    <w:lvl w:ilvl="2" w:tplc="50D46202">
      <w:start w:val="1"/>
      <w:numFmt w:val="bullet"/>
      <w:lvlText w:val="–"/>
      <w:lvlJc w:val="left"/>
      <w:pPr>
        <w:tabs>
          <w:tab w:val="num" w:pos="2160"/>
        </w:tabs>
        <w:ind w:left="2160" w:hanging="360"/>
      </w:pPr>
      <w:rPr>
        <w:rFonts w:ascii="Arial" w:hAnsi="Arial" w:hint="default"/>
      </w:rPr>
    </w:lvl>
    <w:lvl w:ilvl="3" w:tplc="481019DC" w:tentative="1">
      <w:start w:val="1"/>
      <w:numFmt w:val="bullet"/>
      <w:lvlText w:val="–"/>
      <w:lvlJc w:val="left"/>
      <w:pPr>
        <w:tabs>
          <w:tab w:val="num" w:pos="2880"/>
        </w:tabs>
        <w:ind w:left="2880" w:hanging="360"/>
      </w:pPr>
      <w:rPr>
        <w:rFonts w:ascii="Arial" w:hAnsi="Arial" w:hint="default"/>
      </w:rPr>
    </w:lvl>
    <w:lvl w:ilvl="4" w:tplc="749CE6B8" w:tentative="1">
      <w:start w:val="1"/>
      <w:numFmt w:val="bullet"/>
      <w:lvlText w:val="–"/>
      <w:lvlJc w:val="left"/>
      <w:pPr>
        <w:tabs>
          <w:tab w:val="num" w:pos="3600"/>
        </w:tabs>
        <w:ind w:left="3600" w:hanging="360"/>
      </w:pPr>
      <w:rPr>
        <w:rFonts w:ascii="Arial" w:hAnsi="Arial" w:hint="default"/>
      </w:rPr>
    </w:lvl>
    <w:lvl w:ilvl="5" w:tplc="ABDCBE7A" w:tentative="1">
      <w:start w:val="1"/>
      <w:numFmt w:val="bullet"/>
      <w:lvlText w:val="–"/>
      <w:lvlJc w:val="left"/>
      <w:pPr>
        <w:tabs>
          <w:tab w:val="num" w:pos="4320"/>
        </w:tabs>
        <w:ind w:left="4320" w:hanging="360"/>
      </w:pPr>
      <w:rPr>
        <w:rFonts w:ascii="Arial" w:hAnsi="Arial" w:hint="default"/>
      </w:rPr>
    </w:lvl>
    <w:lvl w:ilvl="6" w:tplc="EB7461F6" w:tentative="1">
      <w:start w:val="1"/>
      <w:numFmt w:val="bullet"/>
      <w:lvlText w:val="–"/>
      <w:lvlJc w:val="left"/>
      <w:pPr>
        <w:tabs>
          <w:tab w:val="num" w:pos="5040"/>
        </w:tabs>
        <w:ind w:left="5040" w:hanging="360"/>
      </w:pPr>
      <w:rPr>
        <w:rFonts w:ascii="Arial" w:hAnsi="Arial" w:hint="default"/>
      </w:rPr>
    </w:lvl>
    <w:lvl w:ilvl="7" w:tplc="6FFEC42C" w:tentative="1">
      <w:start w:val="1"/>
      <w:numFmt w:val="bullet"/>
      <w:lvlText w:val="–"/>
      <w:lvlJc w:val="left"/>
      <w:pPr>
        <w:tabs>
          <w:tab w:val="num" w:pos="5760"/>
        </w:tabs>
        <w:ind w:left="5760" w:hanging="360"/>
      </w:pPr>
      <w:rPr>
        <w:rFonts w:ascii="Arial" w:hAnsi="Arial" w:hint="default"/>
      </w:rPr>
    </w:lvl>
    <w:lvl w:ilvl="8" w:tplc="75D8593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51"/>
    <w:rsid w:val="00020251"/>
    <w:rsid w:val="002504A4"/>
    <w:rsid w:val="002921F1"/>
    <w:rsid w:val="007E31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BB9B"/>
  <w15:chartTrackingRefBased/>
  <w15:docId w15:val="{04D743FA-62EF-4B5C-A5A1-CA9A4EA9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251"/>
    <w:pPr>
      <w:spacing w:after="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0251"/>
    <w:pPr>
      <w:spacing w:line="240" w:lineRule="auto"/>
      <w:ind w:left="720"/>
    </w:pPr>
    <w:rPr>
      <w:rFonts w:ascii="Times New Roman" w:eastAsia="Calibri" w:hAnsi="Times New Roman" w:cs="Times New Roman"/>
      <w:sz w:val="24"/>
      <w:szCs w:val="24"/>
      <w:lang w:val="nl-NL" w:eastAsia="nl-NL"/>
    </w:rPr>
  </w:style>
  <w:style w:type="paragraph" w:styleId="PlainText">
    <w:name w:val="Plain Text"/>
    <w:basedOn w:val="Normal"/>
    <w:link w:val="PlainTextChar"/>
    <w:uiPriority w:val="99"/>
    <w:unhideWhenUsed/>
    <w:rsid w:val="00020251"/>
    <w:pPr>
      <w:spacing w:before="100" w:beforeAutospacing="1" w:after="100" w:afterAutospacing="1" w:line="240" w:lineRule="auto"/>
    </w:pPr>
    <w:rPr>
      <w:rFonts w:ascii="Times New Roman" w:eastAsia="Calibri" w:hAnsi="Times New Roman" w:cs="Times New Roman"/>
      <w:sz w:val="24"/>
      <w:szCs w:val="24"/>
      <w:lang w:val="nl-NL" w:eastAsia="nl-NL"/>
    </w:rPr>
  </w:style>
  <w:style w:type="character" w:customStyle="1" w:styleId="PlainTextChar">
    <w:name w:val="Plain Text Char"/>
    <w:basedOn w:val="DefaultParagraphFont"/>
    <w:link w:val="PlainText"/>
    <w:uiPriority w:val="99"/>
    <w:rsid w:val="00020251"/>
    <w:rPr>
      <w:rFonts w:ascii="Times New Roman" w:eastAsia="Calibri" w:hAnsi="Times New Roman" w:cs="Times New Roman"/>
      <w:sz w:val="24"/>
      <w:szCs w:val="24"/>
      <w:lang w:val="nl-NL" w:eastAsia="nl-NL"/>
    </w:rPr>
  </w:style>
  <w:style w:type="paragraph" w:styleId="NormalWeb">
    <w:name w:val="Normal (Web)"/>
    <w:basedOn w:val="Normal"/>
    <w:uiPriority w:val="99"/>
    <w:unhideWhenUsed/>
    <w:rsid w:val="00020251"/>
    <w:pPr>
      <w:spacing w:before="100" w:beforeAutospacing="1" w:after="100" w:afterAutospacing="1" w:line="240" w:lineRule="auto"/>
    </w:pPr>
    <w:rPr>
      <w:rFonts w:ascii="Times New Roman" w:eastAsia="Calibri" w:hAnsi="Times New Roman" w:cs="Times New Roman"/>
      <w:sz w:val="18"/>
      <w:szCs w:val="18"/>
      <w:lang w:val="nl-NL" w:eastAsia="nl-NL"/>
    </w:rPr>
  </w:style>
  <w:style w:type="character" w:styleId="Hyperlink">
    <w:name w:val="Hyperlink"/>
    <w:basedOn w:val="DefaultParagraphFont"/>
    <w:uiPriority w:val="99"/>
    <w:rsid w:val="00020251"/>
    <w:rPr>
      <w:color w:val="0000FF"/>
      <w:u w:val="single"/>
    </w:rPr>
  </w:style>
  <w:style w:type="character" w:styleId="Emphasis">
    <w:name w:val="Emphasis"/>
    <w:basedOn w:val="DefaultParagraphFont"/>
    <w:uiPriority w:val="20"/>
    <w:qFormat/>
    <w:rsid w:val="00020251"/>
    <w:rPr>
      <w:i/>
      <w:iCs/>
    </w:rPr>
  </w:style>
  <w:style w:type="paragraph" w:styleId="Footer">
    <w:name w:val="footer"/>
    <w:aliases w:val="F_UGent"/>
    <w:basedOn w:val="Normal"/>
    <w:link w:val="FooterChar"/>
    <w:uiPriority w:val="99"/>
    <w:unhideWhenUsed/>
    <w:rsid w:val="00020251"/>
    <w:pPr>
      <w:tabs>
        <w:tab w:val="center" w:pos="4536"/>
        <w:tab w:val="right" w:pos="9072"/>
      </w:tabs>
      <w:spacing w:line="240" w:lineRule="auto"/>
    </w:pPr>
  </w:style>
  <w:style w:type="character" w:customStyle="1" w:styleId="FooterChar">
    <w:name w:val="Footer Char"/>
    <w:aliases w:val="F_UGent Char"/>
    <w:basedOn w:val="DefaultParagraphFont"/>
    <w:link w:val="Footer"/>
    <w:uiPriority w:val="99"/>
    <w:rsid w:val="00020251"/>
    <w:rPr>
      <w:rFonts w:ascii="Calibri" w:hAnsi="Calibri"/>
    </w:rPr>
  </w:style>
  <w:style w:type="character" w:customStyle="1" w:styleId="ListParagraphChar">
    <w:name w:val="List Paragraph Char"/>
    <w:link w:val="ListParagraph"/>
    <w:uiPriority w:val="34"/>
    <w:locked/>
    <w:rsid w:val="00020251"/>
    <w:rPr>
      <w:rFonts w:ascii="Times New Roman" w:eastAsia="Calibri"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activ.com/en/eu-elections/interview-institutional-limbo-overshadow-2009-elections/article-177289"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moedebestrijding.be/cijfers_daklozen.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oedebestrijding.be/cijfers_daklozen.htm"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www.euractiv.com/en/eu-elections/interview-institutional-limbo-overshadow-2009-elections/article-17728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euractiv.com/en/eu-elections/interview-institutional-limbo-overshadow-2009-elections/article-177289"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860FA-1487-40D6-910B-F2252A1B5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C9C17-923E-446B-A4B6-B221E062A944}">
  <ds:schemaRefs>
    <ds:schemaRef ds:uri="http://schemas.microsoft.com/sharepoint/v3/contenttype/forms"/>
  </ds:schemaRefs>
</ds:datastoreItem>
</file>

<file path=customXml/itemProps3.xml><?xml version="1.0" encoding="utf-8"?>
<ds:datastoreItem xmlns:ds="http://schemas.openxmlformats.org/officeDocument/2006/customXml" ds:itemID="{9D604896-74EA-47F3-A826-F73C78A7B9A6}">
  <ds:schemaRef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ccf210d-3568-470d-bc24-8f84c293f95d"/>
    <ds:schemaRef ds:uri="e9eefd5e-eb8a-4690-b8a3-e9c1d5bacbad"/>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5962</Words>
  <Characters>32794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2020-09-13T10:40:00Z</dcterms:created>
  <dcterms:modified xsi:type="dcterms:W3CDTF">2020-09-13T10:40:00Z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